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b/>
          <w:color w:val="000000"/>
          <w:sz w:val="30"/>
          <w:szCs w:val="30"/>
        </w:rPr>
      </w:pPr>
      <w:bookmarkStart w:id="0" w:name="_GoBack"/>
      <w:bookmarkEnd w:id="0"/>
      <w:r>
        <w:rPr>
          <w:rFonts w:eastAsia="方正仿宋简体"/>
          <w:snapToGrid w:val="0"/>
          <w:color w:val="000000"/>
          <w:kern w:val="0"/>
          <w:sz w:val="32"/>
          <w:szCs w:val="32"/>
        </w:rPr>
        <w:t>附件</w:t>
      </w:r>
      <w:r>
        <w:rPr>
          <w:rFonts w:hint="eastAsia" w:eastAsia="方正仿宋简体"/>
          <w:snapToGrid w:val="0"/>
          <w:color w:val="000000"/>
          <w:kern w:val="0"/>
          <w:sz w:val="32"/>
          <w:szCs w:val="32"/>
        </w:rPr>
        <w:t>7</w:t>
      </w:r>
      <w:r>
        <w:rPr>
          <w:rFonts w:eastAsia="方正仿宋简体"/>
          <w:snapToGrid w:val="0"/>
          <w:color w:val="000000"/>
          <w:kern w:val="0"/>
          <w:sz w:val="32"/>
          <w:szCs w:val="32"/>
        </w:rPr>
        <w:t>：</w:t>
      </w:r>
    </w:p>
    <w:p>
      <w:pPr>
        <w:autoSpaceDE w:val="0"/>
        <w:autoSpaceDN w:val="0"/>
        <w:adjustRightInd w:val="0"/>
        <w:jc w:val="center"/>
        <w:rPr>
          <w:rFonts w:ascii="方正小标宋简体" w:eastAsia="方正小标宋简体"/>
          <w:sz w:val="32"/>
          <w:szCs w:val="32"/>
        </w:rPr>
      </w:pPr>
      <w:r>
        <w:rPr>
          <w:rFonts w:hint="eastAsia" w:ascii="方正小标宋简体" w:eastAsia="方正小标宋简体"/>
          <w:sz w:val="32"/>
          <w:szCs w:val="32"/>
        </w:rPr>
        <w:t>认证认可</w:t>
      </w:r>
      <w:r>
        <w:rPr>
          <w:rFonts w:ascii="方正小标宋简体" w:eastAsia="方正小标宋简体"/>
          <w:sz w:val="32"/>
          <w:szCs w:val="32"/>
        </w:rPr>
        <w:t>行业标准草案编制说明</w:t>
      </w:r>
    </w:p>
    <w:p>
      <w:pPr>
        <w:autoSpaceDE w:val="0"/>
        <w:autoSpaceDN w:val="0"/>
        <w:adjustRightInd w:val="0"/>
        <w:jc w:val="center"/>
        <w:rPr>
          <w:rFonts w:ascii="方正仿宋简体" w:eastAsia="方正仿宋简体"/>
          <w:color w:val="000000"/>
          <w:sz w:val="24"/>
          <w:szCs w:val="24"/>
        </w:rPr>
      </w:pPr>
      <w:r>
        <w:rPr>
          <w:rFonts w:hint="eastAsia" w:ascii="方正仿宋简体" w:eastAsia="方正仿宋简体"/>
          <w:color w:val="000000"/>
          <w:sz w:val="24"/>
          <w:szCs w:val="24"/>
        </w:rPr>
        <w:t>（参考格式）</w:t>
      </w:r>
    </w:p>
    <w:tbl>
      <w:tblPr>
        <w:tblStyle w:val="52"/>
        <w:tblpPr w:leftFromText="180" w:rightFromText="180" w:vertAnchor="text" w:horzAnchor="margin" w:tblpXSpec="center" w:tblpY="169"/>
        <w:tblW w:w="938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94"/>
        <w:gridCol w:w="1384"/>
        <w:gridCol w:w="1155"/>
        <w:gridCol w:w="1635"/>
        <w:gridCol w:w="1260"/>
        <w:gridCol w:w="21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68" w:hRule="atLeast"/>
        </w:trPr>
        <w:tc>
          <w:tcPr>
            <w:tcW w:w="9384" w:type="dxa"/>
            <w:gridSpan w:val="6"/>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1、基本信息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568" w:hRule="atLeast"/>
        </w:trPr>
        <w:tc>
          <w:tcPr>
            <w:tcW w:w="1794" w:type="dxa"/>
            <w:vMerge w:val="restart"/>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1.1 标准草案名称</w:t>
            </w:r>
          </w:p>
        </w:tc>
        <w:tc>
          <w:tcPr>
            <w:tcW w:w="13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中文</w:t>
            </w:r>
          </w:p>
        </w:tc>
        <w:tc>
          <w:tcPr>
            <w:tcW w:w="620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低碳产品评价方法与要求  薄板坯连铸连轧热轧钢带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548" w:hRule="atLeast"/>
        </w:trPr>
        <w:tc>
          <w:tcPr>
            <w:tcW w:w="1794" w:type="dxa"/>
            <w:vMerge w:val="continue"/>
            <w:tcBorders>
              <w:top w:val="single" w:color="auto" w:sz="4" w:space="0"/>
              <w:left w:val="single" w:color="auto" w:sz="4" w:space="0"/>
              <w:bottom w:val="single" w:color="auto" w:sz="4" w:space="0"/>
              <w:right w:val="single" w:color="auto" w:sz="4" w:space="0"/>
            </w:tcBorders>
            <w:vAlign w:val="center"/>
          </w:tcPr>
          <w:p>
            <w:pPr>
              <w:ind w:left="141" w:leftChars="67" w:right="176" w:rightChars="84"/>
              <w:jc w:val="center"/>
              <w:rPr>
                <w:rFonts w:ascii="宋体" w:hAnsi="宋体"/>
                <w:color w:val="000000"/>
                <w:szCs w:val="21"/>
              </w:rPr>
            </w:pPr>
          </w:p>
        </w:tc>
        <w:tc>
          <w:tcPr>
            <w:tcW w:w="1384" w:type="dxa"/>
            <w:tcBorders>
              <w:top w:val="single" w:color="auto" w:sz="4" w:space="0"/>
              <w:left w:val="single" w:color="auto" w:sz="4" w:space="0"/>
              <w:bottom w:val="single" w:color="auto" w:sz="6" w:space="0"/>
              <w:right w:val="single" w:color="auto" w:sz="4" w:space="0"/>
            </w:tcBorders>
            <w:vAlign w:val="center"/>
          </w:tcPr>
          <w:p>
            <w:pPr>
              <w:jc w:val="center"/>
              <w:rPr>
                <w:rFonts w:ascii="宋体" w:hAnsi="宋体"/>
                <w:color w:val="000000"/>
                <w:szCs w:val="21"/>
              </w:rPr>
            </w:pPr>
            <w:r>
              <w:rPr>
                <w:rFonts w:ascii="宋体" w:hAnsi="宋体"/>
                <w:color w:val="000000"/>
                <w:szCs w:val="21"/>
              </w:rPr>
              <w:t>英文</w:t>
            </w:r>
          </w:p>
        </w:tc>
        <w:tc>
          <w:tcPr>
            <w:tcW w:w="6206" w:type="dxa"/>
            <w:gridSpan w:val="4"/>
            <w:tcBorders>
              <w:top w:val="single" w:color="auto" w:sz="4" w:space="0"/>
              <w:left w:val="single" w:color="auto" w:sz="4" w:space="0"/>
              <w:bottom w:val="single" w:color="auto" w:sz="4" w:space="0"/>
            </w:tcBorders>
            <w:vAlign w:val="center"/>
          </w:tcPr>
          <w:p>
            <w:pPr>
              <w:rPr>
                <w:rFonts w:ascii="宋体" w:hAnsi="宋体"/>
                <w:color w:val="000000"/>
                <w:szCs w:val="21"/>
              </w:rPr>
            </w:pPr>
            <w:r>
              <w:rPr>
                <w:rFonts w:ascii="宋体" w:hAnsi="宋体" w:cs="Times New Roman"/>
                <w:color w:val="000000"/>
                <w:sz w:val="21"/>
                <w:szCs w:val="21"/>
                <w:shd w:val="clear" w:color="auto" w:fill="auto"/>
              </w:rPr>
              <w:t>Evaluation methods and requirements of low carbon products</w:t>
            </w:r>
            <w:r>
              <w:rPr>
                <w:rFonts w:ascii="宋体" w:hAnsi="宋体"/>
                <w:color w:val="000000"/>
                <w:szCs w:val="21"/>
              </w:rPr>
              <w:t xml:space="preserve"> </w:t>
            </w:r>
          </w:p>
          <w:p>
            <w:pPr>
              <w:rPr>
                <w:rFonts w:ascii="宋体" w:hAnsi="宋体"/>
                <w:color w:val="000000"/>
                <w:szCs w:val="21"/>
              </w:rPr>
            </w:pPr>
            <w:r>
              <w:rPr>
                <w:rFonts w:ascii="宋体" w:hAnsi="宋体" w:cs="Times New Roman"/>
                <w:color w:val="000000"/>
                <w:sz w:val="21"/>
                <w:szCs w:val="21"/>
                <w:shd w:val="clear" w:color="auto" w:fill="auto"/>
              </w:rPr>
              <w:t>Sheet billet continuous rolling hot rolled steel strip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03" w:hRule="atLeast"/>
        </w:trPr>
        <w:tc>
          <w:tcPr>
            <w:tcW w:w="1794" w:type="dxa"/>
            <w:vMerge w:val="restart"/>
            <w:tcBorders>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1.2 与国际标准和国外先进标准一致</w:t>
            </w:r>
            <w:r>
              <w:rPr>
                <w:rFonts w:hint="eastAsia" w:ascii="宋体" w:hAnsi="宋体"/>
                <w:color w:val="000000"/>
                <w:szCs w:val="21"/>
              </w:rPr>
              <w:t>性</w:t>
            </w:r>
            <w:r>
              <w:rPr>
                <w:rFonts w:ascii="宋体" w:hAnsi="宋体"/>
                <w:color w:val="000000"/>
                <w:szCs w:val="21"/>
              </w:rPr>
              <w:t>程度情况</w:t>
            </w:r>
          </w:p>
        </w:tc>
        <w:tc>
          <w:tcPr>
            <w:tcW w:w="1384" w:type="dxa"/>
            <w:vMerge w:val="restart"/>
            <w:tcBorders>
              <w:left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□等同</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□修改</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□非等效</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w:t>
            </w:r>
            <w:r>
              <w:rPr>
                <w:rFonts w:hint="eastAsia" w:ascii="宋体" w:hAnsi="宋体"/>
                <w:color w:val="000000"/>
                <w:szCs w:val="21"/>
              </w:rPr>
              <w:t>未采用</w:t>
            </w:r>
          </w:p>
        </w:tc>
        <w:tc>
          <w:tcPr>
            <w:tcW w:w="1155"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标准</w:t>
            </w:r>
            <w:r>
              <w:rPr>
                <w:rFonts w:hint="eastAsia" w:ascii="宋体" w:hAnsi="宋体"/>
                <w:color w:val="000000"/>
                <w:szCs w:val="21"/>
              </w:rPr>
              <w:t>编</w:t>
            </w:r>
            <w:r>
              <w:rPr>
                <w:rFonts w:ascii="宋体" w:hAnsi="宋体"/>
                <w:color w:val="000000"/>
                <w:szCs w:val="21"/>
              </w:rPr>
              <w:t>号</w:t>
            </w:r>
          </w:p>
        </w:tc>
        <w:tc>
          <w:tcPr>
            <w:tcW w:w="5051" w:type="dxa"/>
            <w:gridSpan w:val="3"/>
            <w:tcBorders>
              <w:left w:val="single" w:color="auto" w:sz="4" w:space="0"/>
              <w:bottom w:val="single" w:color="auto" w:sz="4" w:space="0"/>
            </w:tcBorders>
            <w:vAlign w:val="center"/>
          </w:tcPr>
          <w:p>
            <w:pPr>
              <w:rPr>
                <w:rFonts w:ascii="宋体" w:hAnsi="宋体"/>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59" w:hRule="atLeast"/>
        </w:trPr>
        <w:tc>
          <w:tcPr>
            <w:tcW w:w="1794" w:type="dxa"/>
            <w:vMerge w:val="continue"/>
            <w:tcBorders>
              <w:right w:val="single" w:color="auto" w:sz="4" w:space="0"/>
            </w:tcBorders>
            <w:vAlign w:val="center"/>
          </w:tcPr>
          <w:p>
            <w:pPr>
              <w:ind w:left="141" w:leftChars="67" w:right="176" w:rightChars="84"/>
              <w:jc w:val="center"/>
              <w:rPr>
                <w:rFonts w:ascii="宋体" w:hAnsi="宋体"/>
                <w:color w:val="000000"/>
                <w:szCs w:val="21"/>
              </w:rPr>
            </w:pPr>
          </w:p>
        </w:tc>
        <w:tc>
          <w:tcPr>
            <w:tcW w:w="1384" w:type="dxa"/>
            <w:vMerge w:val="continue"/>
            <w:tcBorders>
              <w:left w:val="single" w:color="auto" w:sz="4" w:space="0"/>
              <w:right w:val="single" w:color="auto" w:sz="4" w:space="0"/>
            </w:tcBorders>
            <w:vAlign w:val="center"/>
          </w:tcPr>
          <w:p>
            <w:pPr>
              <w:jc w:val="center"/>
              <w:rPr>
                <w:rFonts w:ascii="宋体" w:hAnsi="宋体"/>
                <w:color w:val="00000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color="auto" w:sz="4" w:space="0"/>
              <w:left w:val="single" w:color="auto" w:sz="4" w:space="0"/>
              <w:bottom w:val="single" w:color="auto" w:sz="4" w:space="0"/>
            </w:tcBorders>
            <w:vAlign w:val="center"/>
          </w:tcPr>
          <w:p>
            <w:pPr>
              <w:rPr>
                <w:rFonts w:ascii="宋体" w:hAnsi="宋体"/>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04" w:hRule="atLeast"/>
        </w:trPr>
        <w:tc>
          <w:tcPr>
            <w:tcW w:w="1794" w:type="dxa"/>
            <w:vMerge w:val="continue"/>
            <w:tcBorders>
              <w:right w:val="single" w:color="auto" w:sz="4" w:space="0"/>
            </w:tcBorders>
            <w:vAlign w:val="center"/>
          </w:tcPr>
          <w:p>
            <w:pPr>
              <w:ind w:left="141" w:leftChars="67" w:right="176" w:rightChars="84"/>
              <w:jc w:val="center"/>
              <w:rPr>
                <w:rFonts w:ascii="宋体" w:hAnsi="宋体"/>
                <w:color w:val="000000"/>
                <w:szCs w:val="21"/>
              </w:rPr>
            </w:pPr>
          </w:p>
        </w:tc>
        <w:tc>
          <w:tcPr>
            <w:tcW w:w="1384" w:type="dxa"/>
            <w:vMerge w:val="continue"/>
            <w:tcBorders>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color="auto" w:sz="4" w:space="0"/>
              <w:left w:val="single" w:color="auto" w:sz="4" w:space="0"/>
              <w:bottom w:val="single" w:color="auto" w:sz="4" w:space="0"/>
            </w:tcBorders>
            <w:vAlign w:val="center"/>
          </w:tcPr>
          <w:p>
            <w:pPr>
              <w:rPr>
                <w:rFonts w:ascii="宋体" w:hAnsi="宋体"/>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510" w:hRule="atLeast"/>
        </w:trPr>
        <w:tc>
          <w:tcPr>
            <w:tcW w:w="1794" w:type="dxa"/>
            <w:tcBorders>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1.3 任务来源</w:t>
            </w:r>
          </w:p>
        </w:tc>
        <w:tc>
          <w:tcPr>
            <w:tcW w:w="1384"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《国家认监委关于下达2016年第一批认证认可行业标准制定计划项目的通知》</w:t>
            </w:r>
            <w:r>
              <w:fldChar w:fldCharType="begin"/>
            </w:r>
            <w:r>
              <w:instrText xml:space="preserve"> HYPERLINK "http://www.cnca.gov.cn/bmzz/kjybzglb/rzrkhybzgl/xwdt/201507/W020150701405948704336.pdf" </w:instrText>
            </w:r>
            <w:r>
              <w:fldChar w:fldCharType="separate"/>
            </w:r>
            <w:r>
              <w:rPr>
                <w:rFonts w:hint="eastAsia" w:ascii="宋体" w:hAnsi="宋体"/>
                <w:color w:val="000000"/>
                <w:szCs w:val="21"/>
              </w:rPr>
              <w:t>国认科〔2016〕38号</w:t>
            </w:r>
            <w:r>
              <w:rPr>
                <w:rFonts w:ascii="宋体" w:hAnsi="宋体"/>
                <w:color w:val="000000"/>
                <w:szCs w:val="21"/>
              </w:rPr>
              <w:fldChar w:fldCharType="end"/>
            </w:r>
          </w:p>
        </w:tc>
        <w:tc>
          <w:tcPr>
            <w:tcW w:w="1260"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计划编号</w:t>
            </w:r>
          </w:p>
        </w:tc>
        <w:tc>
          <w:tcPr>
            <w:tcW w:w="2156" w:type="dxa"/>
            <w:tcBorders>
              <w:left w:val="single" w:color="auto" w:sz="4" w:space="0"/>
              <w:bottom w:val="single" w:color="auto" w:sz="4" w:space="0"/>
            </w:tcBorders>
            <w:vAlign w:val="center"/>
          </w:tcPr>
          <w:p>
            <w:pPr>
              <w:rPr>
                <w:rFonts w:ascii="宋体" w:hAnsi="宋体"/>
                <w:color w:val="000000"/>
                <w:szCs w:val="21"/>
              </w:rPr>
            </w:pPr>
            <w:r>
              <w:rPr>
                <w:rFonts w:hint="eastAsia" w:ascii="宋体" w:hAnsi="宋体"/>
                <w:color w:val="000000"/>
                <w:szCs w:val="21"/>
              </w:rPr>
              <w:t>2016RB002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029" w:hRule="atLeast"/>
        </w:trPr>
        <w:tc>
          <w:tcPr>
            <w:tcW w:w="1794" w:type="dxa"/>
            <w:vAlign w:val="center"/>
          </w:tcPr>
          <w:p>
            <w:pPr>
              <w:spacing w:line="360" w:lineRule="exact"/>
              <w:ind w:left="141" w:leftChars="67" w:right="176" w:rightChars="84"/>
              <w:rPr>
                <w:rFonts w:ascii="宋体" w:hAnsi="宋体"/>
                <w:color w:val="000000"/>
                <w:szCs w:val="21"/>
              </w:rPr>
            </w:pPr>
            <w:r>
              <w:rPr>
                <w:rFonts w:hint="eastAsia" w:ascii="宋体" w:hAnsi="宋体"/>
                <w:color w:val="000000"/>
                <w:szCs w:val="21"/>
              </w:rPr>
              <w:t>1.4制（修）订</w:t>
            </w:r>
          </w:p>
        </w:tc>
        <w:tc>
          <w:tcPr>
            <w:tcW w:w="7590" w:type="dxa"/>
            <w:gridSpan w:val="5"/>
            <w:vAlign w:val="center"/>
          </w:tcPr>
          <w:p>
            <w:pPr>
              <w:jc w:val="left"/>
              <w:rPr>
                <w:rFonts w:ascii="宋体" w:hAnsi="宋体"/>
                <w:snapToGrid w:val="0"/>
                <w:color w:val="000000"/>
                <w:kern w:val="0"/>
                <w:szCs w:val="21"/>
              </w:rPr>
            </w:pPr>
            <w:r>
              <w:rPr>
                <w:rFonts w:hint="eastAsia" w:ascii="宋体" w:hAnsi="宋体"/>
                <w:snapToGrid w:val="0"/>
                <w:color w:val="000000"/>
                <w:kern w:val="0"/>
                <w:szCs w:val="21"/>
              </w:rPr>
              <w:t>■制定     □修订</w:t>
            </w:r>
            <w:r>
              <w:rPr>
                <w:rFonts w:hint="eastAsia" w:ascii="宋体" w:hAnsi="宋体"/>
                <w:szCs w:val="21"/>
              </w:rPr>
              <w:t>（被修订标准名称及编号：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745" w:hRule="atLeast"/>
        </w:trPr>
        <w:tc>
          <w:tcPr>
            <w:tcW w:w="1794" w:type="dxa"/>
            <w:vAlign w:val="center"/>
          </w:tcPr>
          <w:p>
            <w:pPr>
              <w:ind w:left="141" w:leftChars="67" w:right="176" w:rightChars="84"/>
              <w:rPr>
                <w:rFonts w:ascii="宋体" w:hAnsi="宋体"/>
                <w:color w:val="000000"/>
                <w:szCs w:val="21"/>
              </w:rPr>
            </w:pPr>
            <w:r>
              <w:rPr>
                <w:rFonts w:ascii="宋体" w:hAnsi="宋体"/>
                <w:color w:val="000000"/>
                <w:szCs w:val="21"/>
              </w:rPr>
              <w:t>1.5 起止时间</w:t>
            </w:r>
          </w:p>
        </w:tc>
        <w:tc>
          <w:tcPr>
            <w:tcW w:w="7590" w:type="dxa"/>
            <w:gridSpan w:val="5"/>
            <w:vAlign w:val="center"/>
          </w:tcPr>
          <w:p>
            <w:pPr>
              <w:jc w:val="center"/>
              <w:rPr>
                <w:rFonts w:ascii="宋体" w:hAnsi="宋体"/>
                <w:color w:val="000000"/>
                <w:szCs w:val="21"/>
              </w:rPr>
            </w:pPr>
            <w:r>
              <w:rPr>
                <w:rFonts w:hint="eastAsia" w:ascii="宋体" w:hAnsi="宋体"/>
                <w:color w:val="000000"/>
                <w:szCs w:val="21"/>
              </w:rPr>
              <w:t>2016</w:t>
            </w:r>
            <w:r>
              <w:rPr>
                <w:rFonts w:ascii="宋体" w:hAnsi="宋体"/>
                <w:color w:val="000000"/>
                <w:szCs w:val="21"/>
              </w:rPr>
              <w:t xml:space="preserve">年 </w:t>
            </w:r>
            <w:r>
              <w:rPr>
                <w:rFonts w:hint="eastAsia" w:ascii="宋体" w:hAnsi="宋体"/>
                <w:color w:val="000000"/>
                <w:szCs w:val="21"/>
              </w:rPr>
              <w:t>1</w:t>
            </w:r>
            <w:r>
              <w:rPr>
                <w:rFonts w:ascii="宋体" w:hAnsi="宋体"/>
                <w:color w:val="000000"/>
                <w:szCs w:val="21"/>
              </w:rPr>
              <w:t>月---</w:t>
            </w:r>
            <w:r>
              <w:rPr>
                <w:rFonts w:hint="eastAsia" w:ascii="宋体" w:hAnsi="宋体"/>
                <w:color w:val="000000"/>
                <w:szCs w:val="21"/>
              </w:rPr>
              <w:t>2020</w:t>
            </w:r>
            <w:r>
              <w:rPr>
                <w:rFonts w:ascii="宋体" w:hAnsi="宋体"/>
                <w:color w:val="000000"/>
                <w:szCs w:val="21"/>
              </w:rPr>
              <w:t xml:space="preserve"> 年 </w:t>
            </w:r>
            <w:r>
              <w:rPr>
                <w:rFonts w:hint="eastAsia" w:ascii="宋体" w:hAnsi="宋体"/>
                <w:color w:val="000000"/>
                <w:szCs w:val="21"/>
              </w:rPr>
              <w:t>6</w:t>
            </w:r>
            <w:r>
              <w:rPr>
                <w:rFonts w:ascii="宋体" w:hAnsi="宋体"/>
                <w:color w:val="000000"/>
                <w:szCs w:val="21"/>
              </w:rPr>
              <w:t xml:space="preserve"> 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86" w:hRule="atLeast"/>
        </w:trPr>
        <w:tc>
          <w:tcPr>
            <w:tcW w:w="1794" w:type="dxa"/>
            <w:vAlign w:val="center"/>
          </w:tcPr>
          <w:p>
            <w:pPr>
              <w:ind w:left="141" w:leftChars="67" w:right="176" w:rightChars="84"/>
              <w:rPr>
                <w:rFonts w:ascii="宋体" w:hAnsi="宋体"/>
                <w:color w:val="auto"/>
                <w:szCs w:val="21"/>
              </w:rPr>
            </w:pPr>
            <w:r>
              <w:rPr>
                <w:rFonts w:ascii="宋体" w:hAnsi="宋体"/>
                <w:color w:val="auto"/>
                <w:szCs w:val="21"/>
              </w:rPr>
              <w:t xml:space="preserve">1.6 </w:t>
            </w:r>
            <w:r>
              <w:rPr>
                <w:rFonts w:hint="eastAsia" w:ascii="宋体" w:hAnsi="宋体"/>
                <w:color w:val="auto"/>
                <w:szCs w:val="21"/>
              </w:rPr>
              <w:t>标准起草</w:t>
            </w:r>
            <w:r>
              <w:rPr>
                <w:rFonts w:ascii="宋体" w:hAnsi="宋体"/>
                <w:color w:val="auto"/>
                <w:szCs w:val="21"/>
              </w:rPr>
              <w:t>单位</w:t>
            </w:r>
          </w:p>
        </w:tc>
        <w:tc>
          <w:tcPr>
            <w:tcW w:w="7590" w:type="dxa"/>
            <w:gridSpan w:val="5"/>
            <w:vAlign w:val="center"/>
          </w:tcPr>
          <w:p>
            <w:pPr>
              <w:spacing w:line="360" w:lineRule="auto"/>
              <w:rPr>
                <w:rFonts w:ascii="宋体" w:hAnsi="宋体"/>
                <w:color w:val="000000"/>
                <w:szCs w:val="21"/>
              </w:rPr>
            </w:pPr>
            <w:r>
              <w:rPr>
                <w:rFonts w:hint="eastAsia" w:ascii="宋体" w:hAnsi="宋体" w:cs="仿宋_GB2312"/>
                <w:bCs/>
                <w:color w:val="000000"/>
                <w:szCs w:val="21"/>
              </w:rPr>
              <w:t>北京国金衡信认证有限公司、</w:t>
            </w:r>
            <w:r>
              <w:rPr>
                <w:rFonts w:hint="eastAsia" w:ascii="宋体" w:hAnsi="宋体" w:cs="仿宋_GB2312"/>
                <w:bCs/>
                <w:color w:val="000000"/>
                <w:szCs w:val="21"/>
                <w:highlight w:val="none"/>
              </w:rPr>
              <w:t>中国钢研科技集团有限公司</w:t>
            </w:r>
            <w:r>
              <w:rPr>
                <w:rFonts w:hint="eastAsia" w:ascii="宋体" w:hAnsi="宋体" w:cs="仿宋_GB2312"/>
                <w:bCs/>
                <w:color w:val="000000"/>
                <w:szCs w:val="21"/>
              </w:rPr>
              <w:t>、北京</w:t>
            </w:r>
            <w:r>
              <w:rPr>
                <w:rFonts w:hint="eastAsia" w:ascii="宋体" w:hAnsi="宋体"/>
                <w:szCs w:val="21"/>
              </w:rPr>
              <w:t>国建联信认证中心有限公司、</w:t>
            </w:r>
            <w:r>
              <w:rPr>
                <w:rFonts w:hint="eastAsia"/>
              </w:rPr>
              <w:t>马鞍山钢铁股份有限公司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837" w:hRule="atLeast"/>
        </w:trPr>
        <w:tc>
          <w:tcPr>
            <w:tcW w:w="1794" w:type="dxa"/>
            <w:vAlign w:val="center"/>
          </w:tcPr>
          <w:p>
            <w:pPr>
              <w:ind w:left="141" w:leftChars="67" w:right="176" w:rightChars="84"/>
              <w:rPr>
                <w:rFonts w:ascii="宋体" w:hAnsi="宋体"/>
                <w:color w:val="auto"/>
                <w:szCs w:val="21"/>
              </w:rPr>
            </w:pPr>
            <w:r>
              <w:rPr>
                <w:rFonts w:ascii="宋体" w:hAnsi="宋体"/>
                <w:color w:val="auto"/>
                <w:szCs w:val="21"/>
              </w:rPr>
              <w:t>1.7 起草</w:t>
            </w:r>
            <w:r>
              <w:rPr>
                <w:rFonts w:hint="eastAsia" w:ascii="宋体" w:hAnsi="宋体"/>
                <w:color w:val="auto"/>
                <w:szCs w:val="21"/>
              </w:rPr>
              <w:t>组成员</w:t>
            </w:r>
          </w:p>
        </w:tc>
        <w:tc>
          <w:tcPr>
            <w:tcW w:w="7590" w:type="dxa"/>
            <w:gridSpan w:val="5"/>
            <w:vAlign w:val="center"/>
          </w:tcPr>
          <w:p>
            <w:pPr>
              <w:rPr>
                <w:rFonts w:ascii="宋体" w:hAnsi="宋体"/>
                <w:color w:val="000000"/>
                <w:szCs w:val="21"/>
              </w:rPr>
            </w:pPr>
            <w:r>
              <w:rPr>
                <w:rFonts w:hint="eastAsia" w:ascii="宋体" w:hAnsi="宋体" w:cs="仿宋_GB2312"/>
                <w:bCs/>
                <w:color w:val="000000"/>
                <w:szCs w:val="21"/>
              </w:rPr>
              <w:t>王 刚、李春宇、李洪福、林晓川、</w:t>
            </w:r>
            <w:r>
              <w:rPr>
                <w:rFonts w:hint="eastAsia" w:ascii="宋体" w:hAnsi="宋体"/>
                <w:szCs w:val="21"/>
              </w:rPr>
              <w:t>周和敏、郦秀萍、韩光辉、谢飞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264" w:hRule="exact"/>
        </w:trPr>
        <w:tc>
          <w:tcPr>
            <w:tcW w:w="1794" w:type="dxa"/>
            <w:tcBorders>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w:t>
            </w:r>
            <w:r>
              <w:rPr>
                <w:rFonts w:hint="eastAsia" w:ascii="宋体" w:hAnsi="宋体"/>
                <w:color w:val="000000"/>
                <w:szCs w:val="21"/>
              </w:rPr>
              <w:t>8标准体系表内编号</w:t>
            </w:r>
          </w:p>
        </w:tc>
        <w:tc>
          <w:tcPr>
            <w:tcW w:w="7590" w:type="dxa"/>
            <w:gridSpan w:val="5"/>
            <w:tcBorders>
              <w:bottom w:val="single" w:color="auto" w:sz="4" w:space="0"/>
            </w:tcBorders>
            <w:vAlign w:val="center"/>
          </w:tcPr>
          <w:p>
            <w:pPr>
              <w:rPr>
                <w:rFonts w:ascii="宋体" w:hAnsi="宋体"/>
                <w:color w:val="000000"/>
                <w:szCs w:val="21"/>
              </w:rPr>
            </w:pPr>
            <w:r>
              <w:rPr>
                <w:rFonts w:hint="eastAsia"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424" w:hRule="exac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w:t>
            </w:r>
            <w:r>
              <w:rPr>
                <w:rFonts w:hint="eastAsia" w:ascii="宋体" w:hAnsi="宋体"/>
                <w:color w:val="000000"/>
                <w:szCs w:val="21"/>
              </w:rPr>
              <w:t>9</w:t>
            </w:r>
            <w:r>
              <w:rPr>
                <w:rFonts w:ascii="宋体" w:hAnsi="宋体"/>
                <w:color w:val="000000"/>
                <w:szCs w:val="21"/>
              </w:rPr>
              <w:t>调整情况</w:t>
            </w:r>
          </w:p>
        </w:tc>
        <w:tc>
          <w:tcPr>
            <w:tcW w:w="7590"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000000"/>
                <w:szCs w:val="21"/>
              </w:rPr>
            </w:pPr>
            <w:r>
              <w:rPr>
                <w:rFonts w:hint="eastAsia" w:ascii="宋体" w:hAnsi="宋体"/>
                <w:color w:val="000000"/>
                <w:szCs w:val="21"/>
              </w:rPr>
              <w:t>1、变更标准名称：</w:t>
            </w:r>
          </w:p>
          <w:p>
            <w:pPr>
              <w:spacing w:line="360" w:lineRule="auto"/>
              <w:rPr>
                <w:rFonts w:ascii="宋体" w:hAnsi="宋体"/>
                <w:color w:val="000000"/>
                <w:szCs w:val="21"/>
              </w:rPr>
            </w:pPr>
            <w:r>
              <w:rPr>
                <w:rFonts w:hint="eastAsia" w:ascii="宋体" w:hAnsi="宋体"/>
                <w:color w:val="000000"/>
                <w:szCs w:val="21"/>
              </w:rPr>
              <w:t>由“薄板坯连铸连轧热轧钢带低碳评价要求及评价方法”变更为“低碳产品评价方法与要求 薄板坯连铸连轧热轧钢带”；</w:t>
            </w:r>
          </w:p>
          <w:p>
            <w:pPr>
              <w:spacing w:line="360" w:lineRule="auto"/>
              <w:rPr>
                <w:rFonts w:ascii="宋体" w:hAnsi="宋体"/>
                <w:color w:val="000000"/>
                <w:szCs w:val="21"/>
              </w:rPr>
            </w:pPr>
            <w:r>
              <w:rPr>
                <w:rFonts w:hint="eastAsia" w:ascii="宋体" w:hAnsi="宋体"/>
                <w:color w:val="000000"/>
                <w:szCs w:val="21"/>
              </w:rPr>
              <w:t>2、延长标准完成时间；</w:t>
            </w:r>
          </w:p>
          <w:p>
            <w:pPr>
              <w:spacing w:line="360" w:lineRule="auto"/>
              <w:rPr>
                <w:rFonts w:ascii="宋体" w:hAnsi="宋体"/>
                <w:color w:val="000000"/>
                <w:szCs w:val="21"/>
              </w:rPr>
            </w:pPr>
            <w:r>
              <w:rPr>
                <w:rFonts w:hint="eastAsia" w:ascii="宋体" w:hAnsi="宋体"/>
                <w:color w:val="000000"/>
                <w:szCs w:val="21"/>
              </w:rPr>
              <w:t>完成时间延长到2020年6月份。</w:t>
            </w:r>
          </w:p>
        </w:tc>
      </w:tr>
    </w:tbl>
    <w:p>
      <w:pPr>
        <w:rPr>
          <w:rFonts w:eastAsia="仿宋_GB2312"/>
          <w:b/>
          <w:color w:val="000000"/>
          <w:kern w:val="0"/>
          <w:sz w:val="32"/>
        </w:rPr>
      </w:pPr>
    </w:p>
    <w:tbl>
      <w:tblPr>
        <w:tblStyle w:val="52"/>
        <w:tblpPr w:leftFromText="180" w:rightFromText="180" w:vertAnchor="text" w:horzAnchor="margin" w:tblpXSpec="center" w:tblpY="169"/>
        <w:tblW w:w="938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94"/>
        <w:gridCol w:w="75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85" w:hRule="exact"/>
        </w:trPr>
        <w:tc>
          <w:tcPr>
            <w:tcW w:w="9384" w:type="dxa"/>
            <w:gridSpan w:val="2"/>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2、背景情况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5733" w:hRule="atLeast"/>
        </w:trPr>
        <w:tc>
          <w:tcPr>
            <w:tcW w:w="1794" w:type="dxa"/>
            <w:tcBorders>
              <w:top w:val="single" w:color="auto" w:sz="4" w:space="0"/>
              <w:left w:val="single" w:color="auto" w:sz="4" w:space="0"/>
              <w:right w:val="single" w:color="auto" w:sz="4" w:space="0"/>
            </w:tcBorders>
            <w:vAlign w:val="center"/>
          </w:tcPr>
          <w:p>
            <w:pPr>
              <w:ind w:left="141" w:leftChars="67" w:right="36" w:rightChars="17"/>
              <w:rPr>
                <w:rFonts w:ascii="宋体" w:hAnsi="宋体"/>
                <w:color w:val="000000"/>
                <w:szCs w:val="21"/>
              </w:rPr>
            </w:pPr>
            <w:r>
              <w:rPr>
                <w:rFonts w:ascii="宋体" w:hAnsi="宋体"/>
                <w:color w:val="000000"/>
                <w:szCs w:val="21"/>
              </w:rPr>
              <w:t>2.1 目的、意义</w:t>
            </w:r>
          </w:p>
          <w:p>
            <w:pPr>
              <w:ind w:left="141" w:leftChars="67" w:right="36" w:rightChars="17"/>
              <w:rPr>
                <w:rFonts w:ascii="宋体" w:hAnsi="宋体"/>
                <w:color w:val="000000"/>
                <w:szCs w:val="21"/>
              </w:rPr>
            </w:pPr>
            <w:r>
              <w:rPr>
                <w:rFonts w:hint="eastAsia" w:ascii="宋体" w:hAnsi="宋体"/>
                <w:color w:val="000000"/>
                <w:szCs w:val="21"/>
              </w:rPr>
              <w:t>（工作开展背景及要求）</w:t>
            </w:r>
          </w:p>
        </w:tc>
        <w:tc>
          <w:tcPr>
            <w:tcW w:w="7590" w:type="dxa"/>
            <w:tcBorders>
              <w:top w:val="single" w:color="auto" w:sz="4" w:space="0"/>
              <w:left w:val="single" w:color="auto" w:sz="4" w:space="0"/>
              <w:right w:val="single" w:color="auto" w:sz="4" w:space="0"/>
            </w:tcBorders>
            <w:vAlign w:val="center"/>
          </w:tcPr>
          <w:p>
            <w:pPr>
              <w:spacing w:line="360" w:lineRule="auto"/>
              <w:ind w:firstLine="420" w:firstLineChars="200"/>
              <w:rPr>
                <w:rFonts w:ascii="宋体" w:hAnsi="宋体"/>
                <w:color w:val="000000"/>
                <w:szCs w:val="21"/>
              </w:rPr>
            </w:pPr>
            <w:r>
              <w:rPr>
                <w:rFonts w:hint="eastAsia" w:ascii="宋体" w:hAnsi="宋体"/>
                <w:color w:val="000000"/>
                <w:szCs w:val="21"/>
              </w:rPr>
              <w:t>2013年2月18日，国家发展改革委、国家认监委联合发布了《低碳产品认证管理暂行办法》，建立了我国的低碳产品认证制度，以引导低碳生产和消费，促进我国低碳产业发展，同时积极应对国际“碳关税”等绿色贸易壁垒，维护我国国家利益。</w:t>
            </w:r>
          </w:p>
          <w:p>
            <w:pPr>
              <w:spacing w:line="360" w:lineRule="auto"/>
              <w:ind w:firstLine="420" w:firstLineChars="200"/>
              <w:rPr>
                <w:rFonts w:ascii="宋体" w:hAnsi="宋体"/>
                <w:color w:val="000000"/>
                <w:szCs w:val="21"/>
              </w:rPr>
            </w:pPr>
            <w:r>
              <w:rPr>
                <w:rFonts w:hint="eastAsia" w:ascii="宋体" w:hAnsi="宋体"/>
                <w:color w:val="000000"/>
                <w:szCs w:val="21"/>
              </w:rPr>
              <w:t>钢铁工业是我国重要的原材料工业之一，钢铁产品应用于国民经济的各个领域，在经济性、实用性等多方面具有不可替代的作用。同时，钢铁工业也是我国能源消耗、温室气体排放的重点行业，发展钢铁低碳制造技术，减少钢铁制造过程和使用周期的二氧化碳排放，将对发展低碳经济、建设资源节约型、环境友好型社会起到重要作用。</w:t>
            </w:r>
          </w:p>
          <w:p>
            <w:pPr>
              <w:spacing w:line="360" w:lineRule="auto"/>
              <w:ind w:firstLine="420" w:firstLineChars="200"/>
              <w:rPr>
                <w:rFonts w:ascii="宋体" w:hAnsi="宋体"/>
                <w:color w:val="000000"/>
                <w:szCs w:val="21"/>
              </w:rPr>
            </w:pPr>
            <w:r>
              <w:rPr>
                <w:rFonts w:hint="eastAsia" w:ascii="宋体" w:hAnsi="宋体"/>
                <w:color w:val="000000"/>
                <w:szCs w:val="21"/>
              </w:rPr>
              <w:t>该项目着眼于进一步发挥认证认可对国民经济和社会发展的基础性支撑作用，为国家实施节能减排相关政策以及应对气候变化提供技术支撑。本技术规范用于评价薄板坯连铸连轧热轧钢带的制造过程碳排放水平，作为低碳产品认证的主要依据，并为企业采用LCA方法计算薄板坯连铸连轧热轧钢带关键生命周期的碳排放量提供指导。</w:t>
            </w:r>
          </w:p>
          <w:p>
            <w:pPr>
              <w:spacing w:line="360" w:lineRule="auto"/>
              <w:ind w:firstLine="420" w:firstLineChars="200"/>
              <w:rPr>
                <w:rFonts w:ascii="宋体" w:hAnsi="宋体"/>
                <w:color w:val="000000"/>
                <w:szCs w:val="21"/>
              </w:rPr>
            </w:pPr>
            <w:r>
              <w:rPr>
                <w:rFonts w:hint="eastAsia" w:ascii="宋体" w:hAnsi="宋体"/>
                <w:color w:val="000000"/>
                <w:szCs w:val="21"/>
              </w:rPr>
              <w:t>通过该项目的研究，将建立我国钢铁行业碳排放和碳减排核查技术体系，推动低碳产品认证制度的实施，从而促进钢铁企业在能源构成、工艺技术、资源综合利用等方面加强管理，采用先进适用的技术，有效减少重点行业碳排放量，促进钢铁行业节能减排技术水平提升，同时为国家实行碳排放量整体控制等政策提供技术支撑，进一步发挥认证认可在生态文明建设中的基础保障作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3192" w:hRule="exac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36" w:rightChars="17"/>
              <w:rPr>
                <w:rFonts w:ascii="宋体" w:hAnsi="宋体"/>
                <w:color w:val="000000"/>
                <w:szCs w:val="21"/>
              </w:rPr>
            </w:pPr>
            <w:r>
              <w:rPr>
                <w:rFonts w:ascii="宋体" w:hAnsi="宋体"/>
                <w:color w:val="000000"/>
                <w:szCs w:val="21"/>
              </w:rPr>
              <w:t>2.2 与国内外相关标准、文献的关系</w:t>
            </w:r>
          </w:p>
        </w:tc>
        <w:tc>
          <w:tcPr>
            <w:tcW w:w="759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ind w:firstLine="420" w:firstLineChars="200"/>
              <w:rPr>
                <w:kern w:val="0"/>
                <w:szCs w:val="21"/>
              </w:rPr>
            </w:pPr>
          </w:p>
          <w:p>
            <w:pPr>
              <w:autoSpaceDE w:val="0"/>
              <w:autoSpaceDN w:val="0"/>
              <w:adjustRightInd w:val="0"/>
              <w:spacing w:line="360" w:lineRule="auto"/>
              <w:ind w:firstLine="420" w:firstLineChars="200"/>
              <w:rPr>
                <w:rFonts w:ascii="Times New Roman" w:hAnsi="Times New Roman"/>
                <w:color w:val="auto"/>
                <w:kern w:val="0"/>
                <w:szCs w:val="21"/>
                <w:highlight w:val="none"/>
              </w:rPr>
            </w:pPr>
            <w:r>
              <w:rPr>
                <w:rFonts w:hint="eastAsia" w:ascii="Times New Roman" w:hAnsi="Times New Roman"/>
                <w:color w:val="auto"/>
                <w:kern w:val="0"/>
                <w:szCs w:val="21"/>
              </w:rPr>
              <w:t>目前国内、外还没有针对钢铁产品发布相关的低碳产品评价标准，本技术规范是依据国家低碳产品认证的相关政策，结合钢铁行业特色有针对性提出的钢材低碳产品评价技术规范。</w:t>
            </w:r>
          </w:p>
          <w:p>
            <w:pPr>
              <w:autoSpaceDE w:val="0"/>
              <w:autoSpaceDN w:val="0"/>
              <w:adjustRightInd w:val="0"/>
              <w:spacing w:line="360" w:lineRule="auto"/>
              <w:ind w:firstLine="420" w:firstLineChars="200"/>
              <w:rPr>
                <w:rFonts w:ascii="Times New Roman"/>
                <w:kern w:val="0"/>
                <w:szCs w:val="21"/>
              </w:rPr>
            </w:pPr>
            <w:r>
              <w:rPr>
                <w:rFonts w:hint="eastAsia" w:ascii="Times New Roman" w:hAnsi="Times New Roman"/>
                <w:color w:val="auto"/>
                <w:kern w:val="0"/>
                <w:szCs w:val="21"/>
                <w:highlight w:val="none"/>
              </w:rPr>
              <w:t>本技术规范中的评价方法参考了</w:t>
            </w:r>
            <w:r>
              <w:rPr>
                <w:rFonts w:hint="eastAsia"/>
                <w:kern w:val="0"/>
                <w:szCs w:val="21"/>
              </w:rPr>
              <w:t>《国际钢铁协会二氧化碳排放数据收集指南（第六版）》以及</w:t>
            </w:r>
            <w:r>
              <w:rPr>
                <w:kern w:val="0"/>
                <w:szCs w:val="21"/>
              </w:rPr>
              <w:t xml:space="preserve"> GB/T24040</w:t>
            </w:r>
            <w:r>
              <w:rPr>
                <w:rFonts w:hint="eastAsia"/>
                <w:kern w:val="0"/>
                <w:szCs w:val="21"/>
              </w:rPr>
              <w:t>-2016《环境管理</w:t>
            </w:r>
            <w:r>
              <w:rPr>
                <w:kern w:val="0"/>
                <w:szCs w:val="21"/>
              </w:rPr>
              <w:t xml:space="preserve"> </w:t>
            </w:r>
            <w:r>
              <w:rPr>
                <w:rFonts w:hint="eastAsia"/>
                <w:kern w:val="0"/>
                <w:szCs w:val="21"/>
              </w:rPr>
              <w:t>生命周期评价</w:t>
            </w:r>
            <w:r>
              <w:rPr>
                <w:kern w:val="0"/>
                <w:szCs w:val="21"/>
              </w:rPr>
              <w:t xml:space="preserve"> </w:t>
            </w:r>
            <w:r>
              <w:rPr>
                <w:rFonts w:hint="eastAsia"/>
                <w:kern w:val="0"/>
                <w:szCs w:val="21"/>
              </w:rPr>
              <w:t>原则与框架》、</w:t>
            </w:r>
            <w:r>
              <w:rPr>
                <w:kern w:val="0"/>
                <w:szCs w:val="21"/>
              </w:rPr>
              <w:t>GB/T24044</w:t>
            </w:r>
            <w:r>
              <w:rPr>
                <w:rFonts w:hint="eastAsia"/>
                <w:kern w:val="0"/>
                <w:szCs w:val="21"/>
              </w:rPr>
              <w:t>-2016《环境管理</w:t>
            </w:r>
            <w:r>
              <w:rPr>
                <w:kern w:val="0"/>
                <w:szCs w:val="21"/>
              </w:rPr>
              <w:t xml:space="preserve">  </w:t>
            </w:r>
            <w:r>
              <w:rPr>
                <w:rFonts w:hint="eastAsia"/>
                <w:kern w:val="0"/>
                <w:szCs w:val="21"/>
              </w:rPr>
              <w:t>生命周期评价</w:t>
            </w:r>
            <w:r>
              <w:rPr>
                <w:kern w:val="0"/>
                <w:szCs w:val="21"/>
              </w:rPr>
              <w:t xml:space="preserve"> </w:t>
            </w:r>
            <w:r>
              <w:rPr>
                <w:rFonts w:hint="eastAsia"/>
                <w:kern w:val="0"/>
                <w:szCs w:val="21"/>
              </w:rPr>
              <w:t>要求与指南》等国家标准确定的</w:t>
            </w:r>
            <w:r>
              <w:rPr>
                <w:kern w:val="0"/>
                <w:szCs w:val="21"/>
              </w:rPr>
              <w:t>LCA</w:t>
            </w:r>
            <w:r>
              <w:rPr>
                <w:rFonts w:hint="eastAsia"/>
                <w:kern w:val="0"/>
                <w:szCs w:val="21"/>
              </w:rPr>
              <w:t>评价方法。同时遵循</w:t>
            </w:r>
            <w:r>
              <w:rPr>
                <w:kern w:val="0"/>
                <w:szCs w:val="21"/>
              </w:rPr>
              <w:t>GB/T</w:t>
            </w:r>
            <w:r>
              <w:rPr>
                <w:rFonts w:hint="eastAsia"/>
                <w:kern w:val="0"/>
                <w:szCs w:val="21"/>
              </w:rPr>
              <w:t>32151.5-2015《温室气体排放核算与报告要求 第5部分 钢铁生产企业》所确定的二氧化碳排放量核算方法。</w:t>
            </w:r>
            <w:r>
              <w:rPr>
                <w:rFonts w:hint="eastAsia" w:ascii="Times New Roman"/>
                <w:kern w:val="0"/>
                <w:szCs w:val="21"/>
              </w:rPr>
              <w:t>在二氧化碳排放量基准值的确定过程中，重点参考了国家发展改革委、生态环境部、工业和信息化部公告</w:t>
            </w:r>
            <w:r>
              <w:rPr>
                <w:kern w:val="0"/>
                <w:szCs w:val="21"/>
              </w:rPr>
              <w:t>2018</w:t>
            </w:r>
            <w:r>
              <w:rPr>
                <w:rFonts w:hint="eastAsia"/>
                <w:kern w:val="0"/>
                <w:szCs w:val="21"/>
              </w:rPr>
              <w:t>年第</w:t>
            </w:r>
            <w:r>
              <w:rPr>
                <w:kern w:val="0"/>
                <w:szCs w:val="21"/>
              </w:rPr>
              <w:t>17</w:t>
            </w:r>
            <w:r>
              <w:rPr>
                <w:rFonts w:hint="eastAsia"/>
                <w:kern w:val="0"/>
                <w:szCs w:val="21"/>
              </w:rPr>
              <w:t>号发布的《钢铁行业（烧结、球团）清洁生产评价指标体系》、《钢铁行业（高炉炼铁）清洁生产评价指标体系》</w:t>
            </w:r>
            <w:r>
              <w:rPr>
                <w:rFonts w:ascii="Times New Roman" w:hAnsi="Times New Roman" w:eastAsia="宋体" w:cs="Times New Roman"/>
                <w:kern w:val="0"/>
                <w:szCs w:val="21"/>
              </w:rPr>
              <w:t> </w:t>
            </w:r>
            <w:r>
              <w:rPr>
                <w:rFonts w:hint="eastAsia" w:ascii="Times New Roman" w:hAnsi="Times New Roman" w:eastAsia="宋体" w:cs="Times New Roman"/>
                <w:kern w:val="0"/>
                <w:szCs w:val="21"/>
              </w:rPr>
              <w:t>、《钢铁行业（炼钢）清洁生产评价指标体系》、《钢铁行业（钢延压加工）清洁生产评价指标体系》</w:t>
            </w:r>
            <w:r>
              <w:rPr>
                <w:rFonts w:hint="eastAsia"/>
                <w:kern w:val="0"/>
                <w:szCs w:val="21"/>
              </w:rPr>
              <w:t>规定的工序能耗基准值。</w:t>
            </w:r>
          </w:p>
          <w:p>
            <w:pPr>
              <w:spacing w:line="360" w:lineRule="exact"/>
              <w:rPr>
                <w:rFonts w:ascii="宋体" w:hAnsi="宋体"/>
                <w:color w:val="000000"/>
                <w:szCs w:val="21"/>
              </w:rPr>
            </w:pPr>
          </w:p>
        </w:tc>
      </w:tr>
    </w:tbl>
    <w:p>
      <w:pPr>
        <w:rPr>
          <w:rFonts w:eastAsia="仿宋_GB2312"/>
          <w:b/>
          <w:color w:val="000000"/>
          <w:kern w:val="0"/>
          <w:sz w:val="32"/>
        </w:rPr>
      </w:pPr>
    </w:p>
    <w:tbl>
      <w:tblPr>
        <w:tblStyle w:val="52"/>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94"/>
        <w:gridCol w:w="783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65" w:hRule="exact"/>
        </w:trPr>
        <w:tc>
          <w:tcPr>
            <w:tcW w:w="9625" w:type="dxa"/>
            <w:gridSpan w:val="2"/>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3  编制过程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52" w:hRule="atLeast"/>
        </w:trPr>
        <w:tc>
          <w:tcPr>
            <w:tcW w:w="1794" w:type="dxa"/>
            <w:tcBorders>
              <w:top w:val="single" w:color="auto" w:sz="4" w:space="0"/>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1</w:t>
            </w:r>
            <w:r>
              <w:rPr>
                <w:rFonts w:ascii="宋体" w:hAnsi="宋体"/>
                <w:color w:val="000000"/>
                <w:szCs w:val="21"/>
              </w:rPr>
              <w:t xml:space="preserve"> 分工情况</w:t>
            </w:r>
          </w:p>
        </w:tc>
        <w:tc>
          <w:tcPr>
            <w:tcW w:w="7831" w:type="dxa"/>
            <w:tcBorders>
              <w:bottom w:val="single" w:color="auto" w:sz="4" w:space="0"/>
            </w:tcBorders>
            <w:vAlign w:val="center"/>
          </w:tcPr>
          <w:p>
            <w:pPr>
              <w:spacing w:line="360" w:lineRule="auto"/>
              <w:jc w:val="left"/>
              <w:rPr>
                <w:rFonts w:ascii="宋体" w:hAnsi="宋体"/>
                <w:color w:val="000000"/>
                <w:szCs w:val="21"/>
              </w:rPr>
            </w:pPr>
            <w:r>
              <w:rPr>
                <w:rFonts w:hint="eastAsia" w:ascii="宋体" w:hAnsi="宋体"/>
                <w:color w:val="000000"/>
                <w:szCs w:val="21"/>
              </w:rPr>
              <w:t>北京国金衡信认证有限公司负责标准编制报批的全面组织工作，包括前期调研和相关资料收集、标准原则、框架、指标确定，标准内容和标准技术条款内容的组织编写；</w:t>
            </w:r>
          </w:p>
          <w:p>
            <w:pPr>
              <w:spacing w:line="360" w:lineRule="auto"/>
              <w:rPr>
                <w:rFonts w:ascii="宋体" w:hAnsi="宋体"/>
                <w:color w:val="000000"/>
                <w:szCs w:val="21"/>
              </w:rPr>
            </w:pPr>
            <w:r>
              <w:rPr>
                <w:rFonts w:hint="eastAsia"/>
              </w:rPr>
              <w:t>中国钢研科技集团有限公司</w:t>
            </w:r>
            <w:r>
              <w:rPr>
                <w:rFonts w:hint="eastAsia" w:ascii="宋体" w:hAnsi="宋体"/>
                <w:color w:val="000000"/>
                <w:szCs w:val="21"/>
              </w:rPr>
              <w:t>对标准进行评审和技术支持；</w:t>
            </w:r>
          </w:p>
          <w:p>
            <w:pPr>
              <w:spacing w:line="360" w:lineRule="auto"/>
              <w:rPr>
                <w:rFonts w:ascii="宋体" w:hAnsi="宋体"/>
                <w:color w:val="000000"/>
                <w:szCs w:val="21"/>
              </w:rPr>
            </w:pPr>
            <w:r>
              <w:rPr>
                <w:rFonts w:hint="eastAsia"/>
              </w:rPr>
              <w:t>马鞍山钢铁股份有限公司</w:t>
            </w:r>
            <w:r>
              <w:rPr>
                <w:rFonts w:hint="eastAsia" w:ascii="宋体" w:hAnsi="宋体"/>
                <w:color w:val="000000"/>
                <w:szCs w:val="21"/>
              </w:rPr>
              <w:t>负责对标准中工艺流程确认、</w:t>
            </w:r>
            <w:r>
              <w:rPr>
                <w:rFonts w:hint="eastAsia" w:ascii="宋体"/>
                <w:color w:val="000000"/>
                <w:szCs w:val="21"/>
              </w:rPr>
              <w:t>二氧化碳的排放数据</w:t>
            </w:r>
            <w:r>
              <w:rPr>
                <w:rFonts w:hint="eastAsia" w:ascii="宋体" w:hAnsi="宋体"/>
                <w:color w:val="000000"/>
                <w:szCs w:val="21"/>
              </w:rPr>
              <w:t>的收集。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947" w:hRule="atLeast"/>
        </w:trPr>
        <w:tc>
          <w:tcPr>
            <w:tcW w:w="1794" w:type="dxa"/>
            <w:tcBorders>
              <w:top w:val="single" w:color="auto" w:sz="4" w:space="0"/>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ascii="宋体" w:hAnsi="宋体"/>
                <w:color w:val="auto"/>
                <w:szCs w:val="21"/>
              </w:rPr>
              <w:t>.2</w:t>
            </w:r>
            <w:r>
              <w:rPr>
                <w:rFonts w:hint="eastAsia" w:ascii="宋体" w:hAnsi="宋体" w:cs="Times New Roman"/>
                <w:color w:val="auto"/>
                <w:szCs w:val="21"/>
              </w:rPr>
              <w:t>起草阶段</w:t>
            </w:r>
          </w:p>
        </w:tc>
        <w:tc>
          <w:tcPr>
            <w:tcW w:w="7831" w:type="dxa"/>
            <w:tcBorders>
              <w:bottom w:val="single" w:color="auto" w:sz="4" w:space="0"/>
            </w:tcBorders>
            <w:vAlign w:val="center"/>
          </w:tcPr>
          <w:p>
            <w:pPr>
              <w:spacing w:line="360" w:lineRule="auto"/>
              <w:rPr>
                <w:rFonts w:ascii="宋体"/>
                <w:color w:val="000000"/>
                <w:szCs w:val="21"/>
              </w:rPr>
            </w:pPr>
            <w:r>
              <w:rPr>
                <w:rFonts w:hint="eastAsia" w:ascii="宋体"/>
                <w:color w:val="000000"/>
                <w:szCs w:val="21"/>
              </w:rPr>
              <w:t>2015.05月由北京国金衡信认证有限公司牵头，与</w:t>
            </w:r>
            <w:r>
              <w:rPr>
                <w:rFonts w:hint="eastAsia" w:ascii="宋体"/>
                <w:color w:val="000000"/>
                <w:szCs w:val="21"/>
                <w:highlight w:val="none"/>
              </w:rPr>
              <w:t>中国钢研科技集团有限公司</w:t>
            </w:r>
            <w:r>
              <w:rPr>
                <w:rFonts w:hint="eastAsia" w:ascii="宋体"/>
                <w:color w:val="000000"/>
                <w:szCs w:val="21"/>
              </w:rPr>
              <w:t>、宝钢、武钢、太钢、河钢集团、沙钢等企业对制定典型钢铁产品的低碳评价技术规范，并在钢铁行业开展低碳产品评价工作达成了共识。</w:t>
            </w:r>
          </w:p>
          <w:p>
            <w:pPr>
              <w:spacing w:line="360" w:lineRule="auto"/>
              <w:rPr>
                <w:rFonts w:ascii="宋体"/>
                <w:color w:val="000000"/>
                <w:szCs w:val="21"/>
              </w:rPr>
            </w:pPr>
            <w:r>
              <w:rPr>
                <w:rFonts w:hint="eastAsia" w:ascii="宋体"/>
                <w:color w:val="000000"/>
                <w:szCs w:val="21"/>
              </w:rPr>
              <w:t>2016年1月，北京国金衡信认证有限公司与</w:t>
            </w:r>
            <w:r>
              <w:rPr>
                <w:rFonts w:hint="eastAsia"/>
              </w:rPr>
              <w:t>中国钢研科技集团有限公司</w:t>
            </w:r>
            <w:r>
              <w:rPr>
                <w:rFonts w:hint="eastAsia" w:ascii="宋体"/>
                <w:color w:val="000000"/>
                <w:szCs w:val="21"/>
              </w:rPr>
              <w:t>、</w:t>
            </w:r>
            <w:r>
              <w:rPr>
                <w:rFonts w:hint="eastAsia"/>
              </w:rPr>
              <w:t>马鞍山钢铁股份有限公司</w:t>
            </w:r>
            <w:r>
              <w:rPr>
                <w:rFonts w:hint="eastAsia" w:ascii="宋体"/>
                <w:color w:val="000000"/>
                <w:szCs w:val="21"/>
              </w:rPr>
              <w:t>等标准起草单位共同完成项目的可行性分析，制定项目计划表。</w:t>
            </w:r>
          </w:p>
          <w:p>
            <w:pPr>
              <w:spacing w:line="360" w:lineRule="auto"/>
              <w:rPr>
                <w:rFonts w:ascii="宋体"/>
                <w:color w:val="000000"/>
                <w:szCs w:val="21"/>
              </w:rPr>
            </w:pPr>
            <w:r>
              <w:rPr>
                <w:rFonts w:hint="eastAsia" w:ascii="宋体"/>
                <w:color w:val="000000"/>
                <w:szCs w:val="21"/>
              </w:rPr>
              <w:t>2016年8月北京国金衡信认证有限公司完成评价方法、单位产品二氧化碳排放量的核算方法的制定，并召集各参与单位一起进行了多次评审，于2017年6月达成一致意见。</w:t>
            </w:r>
          </w:p>
          <w:p>
            <w:pPr>
              <w:spacing w:line="360" w:lineRule="auto"/>
              <w:rPr>
                <w:rFonts w:ascii="宋体"/>
                <w:color w:val="000000"/>
                <w:szCs w:val="21"/>
              </w:rPr>
            </w:pPr>
            <w:r>
              <w:rPr>
                <w:rFonts w:hint="eastAsia" w:ascii="宋体"/>
                <w:color w:val="000000"/>
                <w:szCs w:val="21"/>
              </w:rPr>
              <w:t>2017年7—12月，经各起草单位共同研究，确定了低碳产品评价条件。</w:t>
            </w:r>
          </w:p>
          <w:p>
            <w:pPr>
              <w:spacing w:line="360" w:lineRule="auto"/>
              <w:rPr>
                <w:rStyle w:val="38"/>
                <w:rFonts w:ascii="宋体"/>
                <w:color w:val="000000"/>
                <w:szCs w:val="21"/>
              </w:rPr>
            </w:pPr>
            <w:r>
              <w:rPr>
                <w:rFonts w:hint="eastAsia" w:ascii="宋体"/>
                <w:color w:val="000000"/>
                <w:szCs w:val="21"/>
              </w:rPr>
              <w:t>2018年1—3月，根据</w:t>
            </w:r>
            <w:r>
              <w:rPr>
                <w:rStyle w:val="38"/>
                <w:rFonts w:ascii="宋体"/>
                <w:color w:val="000000"/>
                <w:szCs w:val="21"/>
              </w:rPr>
              <w:t>GB/T3524</w:t>
            </w:r>
            <w:r>
              <w:rPr>
                <w:rStyle w:val="38"/>
                <w:rFonts w:hint="eastAsia" w:ascii="宋体"/>
                <w:color w:val="000000"/>
                <w:szCs w:val="21"/>
              </w:rPr>
              <w:t>《碳素结构钢和低合金结构钢热轧钢带》、</w:t>
            </w:r>
            <w:r>
              <w:rPr>
                <w:rStyle w:val="38"/>
                <w:rFonts w:ascii="宋体"/>
                <w:color w:val="000000"/>
                <w:szCs w:val="21"/>
              </w:rPr>
              <w:t xml:space="preserve"> GB/T8749</w:t>
            </w:r>
            <w:r>
              <w:rPr>
                <w:rStyle w:val="38"/>
                <w:rFonts w:hint="eastAsia" w:ascii="宋体"/>
                <w:color w:val="000000"/>
                <w:szCs w:val="21"/>
              </w:rPr>
              <w:t>《优质碳素结构钢热轧钢带》等国家标准和对钢铁企业调研的结果完成产品分组。</w:t>
            </w:r>
          </w:p>
          <w:p>
            <w:pPr>
              <w:spacing w:line="360" w:lineRule="auto"/>
              <w:rPr>
                <w:rStyle w:val="38"/>
                <w:rFonts w:ascii="宋体"/>
                <w:color w:val="000000"/>
                <w:szCs w:val="21"/>
              </w:rPr>
            </w:pPr>
            <w:r>
              <w:rPr>
                <w:rStyle w:val="38"/>
                <w:rFonts w:hint="eastAsia" w:ascii="宋体"/>
                <w:color w:val="000000"/>
                <w:szCs w:val="21"/>
              </w:rPr>
              <w:t>2018年4—</w:t>
            </w:r>
            <w:r>
              <w:rPr>
                <w:rStyle w:val="38"/>
                <w:rFonts w:ascii="宋体"/>
                <w:color w:val="000000"/>
                <w:szCs w:val="21"/>
              </w:rPr>
              <w:t>12</w:t>
            </w:r>
            <w:r>
              <w:rPr>
                <w:rStyle w:val="38"/>
                <w:rFonts w:hint="eastAsia" w:ascii="宋体"/>
                <w:color w:val="000000"/>
                <w:szCs w:val="21"/>
              </w:rPr>
              <w:t>月，根据原环境保护部清洁生产系列标准、国家发改委2014年发布的《钢铁行业清洁生产评价指标体系》</w:t>
            </w:r>
            <w:r>
              <w:rPr>
                <w:rFonts w:hint="eastAsia" w:ascii="宋体" w:hAnsi="Times New Roman" w:cs="Times New Roman"/>
                <w:color w:val="000000"/>
                <w:szCs w:val="21"/>
              </w:rPr>
              <w:t>、中国钢铁工业协会</w:t>
            </w:r>
            <w:r>
              <w:rPr>
                <w:rFonts w:ascii="宋体" w:hAnsi="Times New Roman" w:cs="Times New Roman"/>
                <w:color w:val="000000"/>
                <w:szCs w:val="21"/>
              </w:rPr>
              <w:t>2016-2017</w:t>
            </w:r>
            <w:r>
              <w:rPr>
                <w:rFonts w:hint="eastAsia" w:ascii="宋体" w:hAnsi="Times New Roman" w:cs="Times New Roman"/>
                <w:color w:val="000000"/>
                <w:szCs w:val="21"/>
              </w:rPr>
              <w:t>发布的《中国钢铁工业年鉴》对单位产品二氧化碳排放量基准值进行了计算和确定，并初步达成一致。</w:t>
            </w:r>
          </w:p>
          <w:p>
            <w:pPr>
              <w:spacing w:line="360" w:lineRule="auto"/>
              <w:rPr>
                <w:rStyle w:val="38"/>
                <w:rFonts w:ascii="宋体"/>
                <w:color w:val="000000"/>
                <w:szCs w:val="21"/>
              </w:rPr>
            </w:pPr>
            <w:r>
              <w:rPr>
                <w:rStyle w:val="38"/>
                <w:rFonts w:hint="eastAsia" w:ascii="宋体"/>
                <w:color w:val="000000"/>
                <w:szCs w:val="21"/>
              </w:rPr>
              <w:t>2019年1—3月，根据国家发展改革委、生态环境部、工业和信息化部新发布的钢铁行业系列清洁生产</w:t>
            </w:r>
            <w:r>
              <w:rPr>
                <w:rFonts w:hint="eastAsia" w:ascii="宋体" w:hAnsi="Times New Roman" w:cs="Times New Roman"/>
                <w:color w:val="000000"/>
                <w:kern w:val="2"/>
                <w:szCs w:val="21"/>
              </w:rPr>
              <w:t>评价指标体系对单位产品二氧化碳排放量基准值进行了修订。</w:t>
            </w:r>
          </w:p>
          <w:p>
            <w:pPr>
              <w:spacing w:line="360" w:lineRule="auto"/>
              <w:rPr>
                <w:rFonts w:ascii="宋体"/>
                <w:color w:val="000000"/>
                <w:szCs w:val="21"/>
              </w:rPr>
            </w:pPr>
            <w:r>
              <w:rPr>
                <w:rFonts w:hint="eastAsia" w:ascii="宋体"/>
                <w:color w:val="000000"/>
                <w:szCs w:val="21"/>
              </w:rPr>
              <w:t>2019年4—12月，对马钢、河钢邯钢、包钢、酒钢等具有CSP生产工艺的企业进行了实地数据收集和核算，并根据核算结果对单位产品二氧化碳排放量基准值进行了调整。</w:t>
            </w:r>
          </w:p>
          <w:p>
            <w:pPr>
              <w:spacing w:line="360" w:lineRule="auto"/>
              <w:rPr>
                <w:rFonts w:ascii="宋体" w:hAnsi="宋体"/>
                <w:color w:val="000000"/>
                <w:szCs w:val="21"/>
              </w:rPr>
            </w:pPr>
            <w:r>
              <w:rPr>
                <w:rFonts w:hint="eastAsia" w:ascii="宋体"/>
                <w:color w:val="000000"/>
                <w:szCs w:val="21"/>
              </w:rPr>
              <w:t>2020年1月，北京国金衡信认证有限公司再次组织各起草单位对标准进行评审，并形成征求意见稿。</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247" w:hRule="atLeast"/>
        </w:trPr>
        <w:tc>
          <w:tcPr>
            <w:tcW w:w="1794" w:type="dxa"/>
            <w:tcBorders>
              <w:top w:val="single" w:color="auto" w:sz="4" w:space="0"/>
              <w:bottom w:val="single" w:color="auto" w:sz="6"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3</w:t>
            </w:r>
            <w:r>
              <w:rPr>
                <w:rFonts w:hint="eastAsia" w:ascii="宋体" w:hAnsi="宋体" w:cs="Times New Roman"/>
                <w:color w:val="auto"/>
                <w:szCs w:val="21"/>
              </w:rPr>
              <w:t>征求意见阶段</w:t>
            </w:r>
          </w:p>
        </w:tc>
        <w:tc>
          <w:tcPr>
            <w:tcW w:w="7831" w:type="dxa"/>
            <w:tcBorders>
              <w:top w:val="single" w:color="auto" w:sz="4" w:space="0"/>
              <w:bottom w:val="single" w:color="auto" w:sz="6" w:space="0"/>
            </w:tcBorders>
            <w:vAlign w:val="center"/>
          </w:tcPr>
          <w:p>
            <w:pPr>
              <w:jc w:val="left"/>
              <w:rPr>
                <w:rFonts w:ascii="宋体" w:hAnsi="宋体"/>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254" w:hRule="atLeast"/>
        </w:trPr>
        <w:tc>
          <w:tcPr>
            <w:tcW w:w="1794" w:type="dxa"/>
            <w:tcBorders>
              <w:top w:val="single" w:color="auto" w:sz="6" w:space="0"/>
              <w:bottom w:val="single" w:color="auto" w:sz="6"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4标准预审查阶段</w:t>
            </w:r>
          </w:p>
        </w:tc>
        <w:tc>
          <w:tcPr>
            <w:tcW w:w="7831" w:type="dxa"/>
            <w:tcBorders>
              <w:top w:val="single" w:color="auto" w:sz="6" w:space="0"/>
              <w:bottom w:val="single" w:color="auto" w:sz="6" w:space="0"/>
            </w:tcBorders>
            <w:vAlign w:val="center"/>
          </w:tcPr>
          <w:p>
            <w:pPr>
              <w:jc w:val="left"/>
              <w:rPr>
                <w:rFonts w:ascii="宋体" w:hAnsi="宋体"/>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396" w:hRule="atLeast"/>
        </w:trPr>
        <w:tc>
          <w:tcPr>
            <w:tcW w:w="1794" w:type="dxa"/>
            <w:tcBorders>
              <w:top w:val="single" w:color="auto" w:sz="6" w:space="0"/>
              <w:bottom w:val="single" w:color="auto" w:sz="6" w:space="0"/>
            </w:tcBorders>
            <w:vAlign w:val="center"/>
          </w:tcPr>
          <w:p>
            <w:pPr>
              <w:ind w:left="141" w:leftChars="67" w:right="176" w:rightChars="84"/>
              <w:rPr>
                <w:rFonts w:ascii="宋体" w:hAnsi="宋体"/>
                <w:color w:val="000000"/>
                <w:szCs w:val="21"/>
              </w:rPr>
            </w:pPr>
            <w:r>
              <w:rPr>
                <w:rFonts w:hint="eastAsia" w:ascii="宋体" w:hAnsi="宋体"/>
                <w:color w:val="000000"/>
                <w:szCs w:val="21"/>
              </w:rPr>
              <w:t>3.5标准审查阶段</w:t>
            </w:r>
          </w:p>
        </w:tc>
        <w:tc>
          <w:tcPr>
            <w:tcW w:w="7831" w:type="dxa"/>
            <w:tcBorders>
              <w:top w:val="single" w:color="auto" w:sz="6" w:space="0"/>
              <w:bottom w:val="single" w:color="auto" w:sz="6" w:space="0"/>
            </w:tcBorders>
            <w:vAlign w:val="center"/>
          </w:tcPr>
          <w:p>
            <w:pPr>
              <w:jc w:val="left"/>
              <w:rPr>
                <w:rFonts w:ascii="宋体" w:hAnsi="宋体"/>
                <w:color w:val="000000"/>
                <w:szCs w:val="21"/>
              </w:rPr>
            </w:pPr>
          </w:p>
        </w:tc>
      </w:tr>
    </w:tbl>
    <w:p>
      <w:pPr>
        <w:rPr>
          <w:rFonts w:eastAsia="仿宋_GB2312"/>
          <w:b/>
          <w:color w:val="000000"/>
          <w:kern w:val="0"/>
          <w:sz w:val="32"/>
        </w:rPr>
      </w:pPr>
      <w:r>
        <w:rPr>
          <w:rFonts w:eastAsia="仿宋_GB2312"/>
          <w:b/>
          <w:color w:val="000000"/>
          <w:kern w:val="0"/>
          <w:sz w:val="32"/>
        </w:rPr>
        <w:br w:type="page"/>
      </w:r>
    </w:p>
    <w:tbl>
      <w:tblPr>
        <w:tblStyle w:val="52"/>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13" w:hRule="atLeast"/>
        </w:trPr>
        <w:tc>
          <w:tcPr>
            <w:tcW w:w="9625" w:type="dxa"/>
            <w:tcBorders>
              <w:top w:val="nil"/>
              <w:left w:val="nil"/>
              <w:bottom w:val="single" w:color="auto" w:sz="4" w:space="0"/>
              <w:right w:val="nil"/>
            </w:tcBorders>
            <w:vAlign w:val="center"/>
          </w:tcPr>
          <w:p>
            <w:pPr>
              <w:rPr>
                <w:rFonts w:ascii="宋体" w:hAnsi="宋体"/>
                <w:b/>
                <w:color w:val="000000"/>
                <w:szCs w:val="21"/>
              </w:rPr>
            </w:pPr>
            <w:r>
              <w:rPr>
                <w:rFonts w:hint="eastAsia" w:ascii="宋体" w:hAnsi="宋体"/>
                <w:b/>
                <w:color w:val="000000"/>
                <w:szCs w:val="21"/>
              </w:rPr>
              <w:t>4  主要技术内容的确定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1993" w:hRule="atLeast"/>
        </w:trPr>
        <w:tc>
          <w:tcPr>
            <w:tcW w:w="9625"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olor w:val="000000"/>
                <w:szCs w:val="21"/>
              </w:rPr>
            </w:pPr>
            <w:r>
              <w:rPr>
                <w:rFonts w:hint="eastAsia" w:ascii="宋体" w:hAnsi="宋体"/>
                <w:color w:val="000000"/>
                <w:szCs w:val="21"/>
              </w:rPr>
              <w:t>1、根据国家对低碳产品相关法规的要求以及产品特点，确定了低碳产品评价的基本条件。</w:t>
            </w:r>
          </w:p>
          <w:p>
            <w:pPr>
              <w:spacing w:line="360" w:lineRule="auto"/>
              <w:rPr>
                <w:rFonts w:ascii="宋体" w:hAnsi="宋体"/>
                <w:color w:val="000000"/>
                <w:szCs w:val="21"/>
              </w:rPr>
            </w:pPr>
            <w:r>
              <w:rPr>
                <w:rFonts w:hint="eastAsia" w:ascii="宋体" w:hAnsi="宋体"/>
                <w:color w:val="000000"/>
                <w:szCs w:val="21"/>
              </w:rPr>
              <w:t>2、根据产品生产工艺流程，确定了“薄板坯连铸连轧热轧钢带”核算主体和边界；</w:t>
            </w:r>
            <w:r>
              <w:rPr>
                <w:rFonts w:hint="eastAsia"/>
                <w:kern w:val="0"/>
              </w:rPr>
              <w:t>核算主体以具体生产线或生产厂为独立核算单位，包括主要生产系统、辅助生产系统。</w:t>
            </w:r>
          </w:p>
          <w:p>
            <w:pPr>
              <w:spacing w:line="360" w:lineRule="auto"/>
              <w:rPr>
                <w:rFonts w:ascii="宋体" w:hAnsi="宋体"/>
                <w:color w:val="000000"/>
                <w:szCs w:val="21"/>
              </w:rPr>
            </w:pPr>
            <w:r>
              <w:rPr>
                <w:rFonts w:hint="eastAsia" w:ascii="宋体" w:hAnsi="宋体"/>
                <w:color w:val="000000"/>
                <w:szCs w:val="21"/>
              </w:rPr>
              <w:t>3、根据</w:t>
            </w:r>
            <w:r>
              <w:rPr>
                <w:rFonts w:hint="eastAsia"/>
                <w:kern w:val="0"/>
                <w:szCs w:val="21"/>
              </w:rPr>
              <w:t>《国际钢铁协会二氧化碳排放数据收集指南（第六版）》、</w:t>
            </w:r>
            <w:r>
              <w:rPr>
                <w:kern w:val="0"/>
                <w:szCs w:val="21"/>
              </w:rPr>
              <w:t xml:space="preserve"> GB/T24040</w:t>
            </w:r>
            <w:r>
              <w:rPr>
                <w:rFonts w:hint="eastAsia"/>
                <w:kern w:val="0"/>
                <w:szCs w:val="21"/>
              </w:rPr>
              <w:t>-2016《环境管理</w:t>
            </w:r>
            <w:r>
              <w:rPr>
                <w:kern w:val="0"/>
                <w:szCs w:val="21"/>
              </w:rPr>
              <w:t xml:space="preserve"> </w:t>
            </w:r>
            <w:r>
              <w:rPr>
                <w:rFonts w:hint="eastAsia"/>
                <w:kern w:val="0"/>
                <w:szCs w:val="21"/>
              </w:rPr>
              <w:t>生命周期评价</w:t>
            </w:r>
            <w:r>
              <w:rPr>
                <w:kern w:val="0"/>
                <w:szCs w:val="21"/>
              </w:rPr>
              <w:t xml:space="preserve"> </w:t>
            </w:r>
            <w:r>
              <w:rPr>
                <w:rFonts w:hint="eastAsia"/>
                <w:kern w:val="0"/>
                <w:szCs w:val="21"/>
              </w:rPr>
              <w:t>原则与框架》、</w:t>
            </w:r>
            <w:r>
              <w:rPr>
                <w:kern w:val="0"/>
                <w:szCs w:val="21"/>
              </w:rPr>
              <w:t>GB/T24044</w:t>
            </w:r>
            <w:r>
              <w:rPr>
                <w:rFonts w:hint="eastAsia"/>
                <w:kern w:val="0"/>
                <w:szCs w:val="21"/>
              </w:rPr>
              <w:t>-2016《环境管理</w:t>
            </w:r>
            <w:r>
              <w:rPr>
                <w:kern w:val="0"/>
                <w:szCs w:val="21"/>
              </w:rPr>
              <w:t xml:space="preserve">  </w:t>
            </w:r>
            <w:r>
              <w:rPr>
                <w:rFonts w:hint="eastAsia"/>
                <w:kern w:val="0"/>
                <w:szCs w:val="21"/>
              </w:rPr>
              <w:t>生命周期评价</w:t>
            </w:r>
            <w:r>
              <w:rPr>
                <w:kern w:val="0"/>
                <w:szCs w:val="21"/>
              </w:rPr>
              <w:t xml:space="preserve"> </w:t>
            </w:r>
            <w:r>
              <w:rPr>
                <w:rFonts w:hint="eastAsia"/>
                <w:kern w:val="0"/>
                <w:szCs w:val="21"/>
              </w:rPr>
              <w:t>要求与指南》等国家标准确定的LCA评价方法以及</w:t>
            </w:r>
            <w:r>
              <w:rPr>
                <w:kern w:val="0"/>
                <w:szCs w:val="21"/>
              </w:rPr>
              <w:t>GB/T</w:t>
            </w:r>
            <w:r>
              <w:rPr>
                <w:rFonts w:hint="eastAsia"/>
                <w:kern w:val="0"/>
                <w:szCs w:val="21"/>
              </w:rPr>
              <w:t>32151.5-2015《温室气体排放核算与报告要求 第5部分 钢铁生产企业》所确定的二氧化碳排放量核算方法，</w:t>
            </w:r>
            <w:r>
              <w:rPr>
                <w:rFonts w:hint="eastAsia" w:ascii="宋体" w:hAnsi="宋体"/>
                <w:color w:val="000000"/>
                <w:szCs w:val="21"/>
              </w:rPr>
              <w:t>确定了“薄板坯连铸连轧热轧钢带”生产过程二氧化碳排放量核算方法。</w:t>
            </w:r>
          </w:p>
          <w:p>
            <w:pPr>
              <w:spacing w:line="360" w:lineRule="auto"/>
              <w:rPr>
                <w:rFonts w:ascii="宋体" w:hAnsi="宋体"/>
                <w:color w:val="000000"/>
                <w:szCs w:val="21"/>
              </w:rPr>
            </w:pPr>
            <w:r>
              <w:rPr>
                <w:rFonts w:hint="eastAsia" w:ascii="宋体" w:hAnsi="宋体"/>
                <w:color w:val="000000"/>
                <w:szCs w:val="21"/>
              </w:rPr>
              <w:t>4、根据</w:t>
            </w:r>
            <w:r>
              <w:rPr>
                <w:rFonts w:ascii="宋体"/>
                <w:color w:val="000000"/>
                <w:szCs w:val="21"/>
              </w:rPr>
              <w:t>国家发展改革委</w:t>
            </w:r>
            <w:r>
              <w:rPr>
                <w:rFonts w:hint="eastAsia" w:ascii="宋体"/>
                <w:color w:val="000000"/>
                <w:szCs w:val="21"/>
              </w:rPr>
              <w:t>、</w:t>
            </w:r>
            <w:r>
              <w:rPr>
                <w:rFonts w:ascii="宋体"/>
                <w:color w:val="000000"/>
                <w:szCs w:val="21"/>
              </w:rPr>
              <w:t>生态环境部</w:t>
            </w:r>
            <w:r>
              <w:rPr>
                <w:rFonts w:hint="eastAsia" w:ascii="宋体"/>
                <w:color w:val="000000"/>
                <w:szCs w:val="21"/>
              </w:rPr>
              <w:t>、</w:t>
            </w:r>
            <w:r>
              <w:rPr>
                <w:rFonts w:ascii="宋体"/>
                <w:color w:val="000000"/>
                <w:szCs w:val="21"/>
              </w:rPr>
              <w:t>工业和信息化部</w:t>
            </w:r>
            <w:r>
              <w:rPr>
                <w:rFonts w:hint="eastAsia" w:ascii="宋体"/>
                <w:color w:val="000000"/>
                <w:szCs w:val="21"/>
              </w:rPr>
              <w:t>《</w:t>
            </w:r>
            <w:r>
              <w:rPr>
                <w:rFonts w:ascii="宋体"/>
                <w:color w:val="000000"/>
                <w:szCs w:val="21"/>
              </w:rPr>
              <w:t>钢铁行业清洁生产评价指标体系</w:t>
            </w:r>
            <w:r>
              <w:rPr>
                <w:rFonts w:hint="eastAsia" w:ascii="宋体"/>
                <w:color w:val="000000"/>
                <w:szCs w:val="21"/>
              </w:rPr>
              <w:t>》（</w:t>
            </w:r>
            <w:r>
              <w:rPr>
                <w:rFonts w:ascii="宋体"/>
                <w:color w:val="000000"/>
                <w:szCs w:val="21"/>
              </w:rPr>
              <w:t>系列</w:t>
            </w:r>
            <w:r>
              <w:rPr>
                <w:rFonts w:hint="eastAsia" w:ascii="宋体"/>
                <w:color w:val="000000"/>
                <w:szCs w:val="21"/>
              </w:rPr>
              <w:t>）、中国钢铁工业协会近几年发布的《中国钢铁工业年鉴》，在对几家典型钢铁企业实地核算的基础上，确定了单位产品二氧化碳排放量基准值。</w:t>
            </w:r>
          </w:p>
          <w:p>
            <w:pPr>
              <w:spacing w:line="360" w:lineRule="auto"/>
              <w:rPr>
                <w:rFonts w:ascii="宋体" w:hAnsi="宋体"/>
                <w:color w:val="000000"/>
                <w:szCs w:val="21"/>
              </w:rPr>
            </w:pPr>
            <w:r>
              <w:rPr>
                <w:rFonts w:hint="eastAsia" w:ascii="宋体" w:hAnsi="宋体"/>
                <w:color w:val="000000"/>
                <w:szCs w:val="21"/>
              </w:rPr>
              <w:t>5、根据</w:t>
            </w:r>
            <w:r>
              <w:rPr>
                <w:kern w:val="0"/>
                <w:szCs w:val="21"/>
              </w:rPr>
              <w:t>GB/T</w:t>
            </w:r>
            <w:r>
              <w:rPr>
                <w:rFonts w:hint="eastAsia"/>
                <w:kern w:val="0"/>
                <w:szCs w:val="21"/>
              </w:rPr>
              <w:t>32151.5-2015《温室气体排放核算与报告要求 第5部分 钢铁生产企业》国家标准，明确了</w:t>
            </w:r>
            <w:r>
              <w:rPr>
                <w:rFonts w:hint="eastAsia" w:ascii="宋体" w:hAnsi="宋体"/>
                <w:color w:val="000000"/>
                <w:szCs w:val="21"/>
              </w:rPr>
              <w:t>“薄板坯连铸连轧热轧钢带”低碳产品评价报告的内容要求。</w:t>
            </w:r>
          </w:p>
        </w:tc>
      </w:tr>
    </w:tbl>
    <w:p>
      <w:pPr>
        <w:rPr>
          <w:rFonts w:eastAsia="仿宋_GB2312"/>
          <w:b/>
          <w:color w:val="000000"/>
          <w:kern w:val="0"/>
          <w:sz w:val="32"/>
        </w:rPr>
      </w:pPr>
    </w:p>
    <w:tbl>
      <w:tblPr>
        <w:tblStyle w:val="52"/>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800"/>
        <w:gridCol w:w="6"/>
        <w:gridCol w:w="2354"/>
        <w:gridCol w:w="2814"/>
        <w:gridCol w:w="26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90" w:hRule="atLeast"/>
        </w:trPr>
        <w:tc>
          <w:tcPr>
            <w:tcW w:w="9625" w:type="dxa"/>
            <w:gridSpan w:val="5"/>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5  验证情况（基础类标准除外）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585" w:hRule="atLeast"/>
        </w:trPr>
        <w:tc>
          <w:tcPr>
            <w:tcW w:w="1800" w:type="dxa"/>
            <w:vMerge w:val="restart"/>
            <w:tcBorders>
              <w:top w:val="single" w:color="auto" w:sz="4" w:space="0"/>
              <w:left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5.1 验证单位情况</w:t>
            </w:r>
          </w:p>
        </w:tc>
        <w:tc>
          <w:tcPr>
            <w:tcW w:w="2360"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r>
              <w:rPr>
                <w:rFonts w:ascii="宋体" w:hAnsi="宋体"/>
                <w:color w:val="000000"/>
                <w:szCs w:val="21"/>
              </w:rPr>
              <w:t>验证单位</w:t>
            </w:r>
          </w:p>
        </w:tc>
        <w:tc>
          <w:tcPr>
            <w:tcW w:w="28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验证人员</w:t>
            </w:r>
          </w:p>
        </w:tc>
        <w:tc>
          <w:tcPr>
            <w:tcW w:w="26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验证时间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35" w:hRule="atLeast"/>
        </w:trPr>
        <w:tc>
          <w:tcPr>
            <w:tcW w:w="1800" w:type="dxa"/>
            <w:vMerge w:val="continue"/>
            <w:tcBorders>
              <w:left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360" w:type="dxa"/>
            <w:gridSpan w:val="2"/>
            <w:tcBorders>
              <w:top w:val="single" w:color="auto" w:sz="4" w:space="0"/>
              <w:left w:val="single" w:color="auto" w:sz="4" w:space="0"/>
              <w:bottom w:val="single" w:color="auto" w:sz="4" w:space="0"/>
              <w:right w:val="single" w:color="auto" w:sz="4" w:space="0"/>
            </w:tcBorders>
          </w:tcPr>
          <w:p>
            <w:pPr>
              <w:ind w:left="141" w:leftChars="67" w:right="48" w:rightChars="23"/>
              <w:jc w:val="center"/>
              <w:rPr>
                <w:rFonts w:ascii="宋体" w:hAnsi="宋体"/>
                <w:color w:val="000000"/>
                <w:szCs w:val="21"/>
              </w:rPr>
            </w:pPr>
            <w:r>
              <w:rPr>
                <w:rFonts w:hint="eastAsia" w:ascii="宋体" w:hAnsi="宋体"/>
                <w:color w:val="000000"/>
                <w:szCs w:val="21"/>
              </w:rPr>
              <w:t>\</w:t>
            </w:r>
          </w:p>
        </w:tc>
        <w:tc>
          <w:tcPr>
            <w:tcW w:w="2814"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Cs w:val="21"/>
              </w:rPr>
            </w:pPr>
            <w:r>
              <w:rPr>
                <w:rFonts w:hint="eastAsia" w:ascii="宋体" w:hAnsi="宋体"/>
                <w:color w:val="000000"/>
                <w:szCs w:val="21"/>
              </w:rPr>
              <w:t>\</w:t>
            </w:r>
          </w:p>
        </w:tc>
        <w:tc>
          <w:tcPr>
            <w:tcW w:w="2651" w:type="dxa"/>
            <w:tcBorders>
              <w:top w:val="single" w:color="auto" w:sz="4" w:space="0"/>
              <w:left w:val="single" w:color="auto" w:sz="4" w:space="0"/>
              <w:bottom w:val="single" w:color="auto" w:sz="4" w:space="0"/>
              <w:right w:val="single" w:color="auto" w:sz="4" w:space="0"/>
            </w:tcBorders>
            <w:vAlign w:val="center"/>
          </w:tcPr>
          <w:p>
            <w:pPr>
              <w:wordWrap w:val="0"/>
              <w:jc w:val="right"/>
              <w:rPr>
                <w:rFonts w:ascii="宋体" w:hAnsi="宋体"/>
                <w:color w:val="000000"/>
                <w:szCs w:val="21"/>
              </w:rPr>
            </w:pPr>
            <w:r>
              <w:rPr>
                <w:rFonts w:ascii="宋体" w:hAnsi="宋体"/>
                <w:color w:val="000000"/>
                <w:szCs w:val="21"/>
              </w:rPr>
              <w:t xml:space="preserve"> 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35" w:hRule="atLeast"/>
        </w:trPr>
        <w:tc>
          <w:tcPr>
            <w:tcW w:w="1800" w:type="dxa"/>
            <w:vMerge w:val="continue"/>
            <w:tcBorders>
              <w:left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360" w:type="dxa"/>
            <w:gridSpan w:val="2"/>
            <w:tcBorders>
              <w:top w:val="single" w:color="auto" w:sz="4" w:space="0"/>
              <w:left w:val="single" w:color="auto" w:sz="4" w:space="0"/>
              <w:bottom w:val="single" w:color="auto" w:sz="4" w:space="0"/>
              <w:right w:val="single" w:color="auto" w:sz="4" w:space="0"/>
            </w:tcBorders>
          </w:tcPr>
          <w:p>
            <w:pPr>
              <w:ind w:left="141" w:leftChars="67" w:right="48" w:rightChars="23"/>
              <w:jc w:val="center"/>
              <w:rPr>
                <w:rFonts w:ascii="宋体" w:hAnsi="宋体"/>
                <w:color w:val="000000"/>
                <w:szCs w:val="21"/>
              </w:rPr>
            </w:pPr>
            <w:r>
              <w:rPr>
                <w:rFonts w:hint="eastAsia" w:ascii="宋体" w:hAnsi="宋体"/>
                <w:color w:val="000000"/>
                <w:szCs w:val="21"/>
              </w:rPr>
              <w:t>\</w:t>
            </w:r>
          </w:p>
        </w:tc>
        <w:tc>
          <w:tcPr>
            <w:tcW w:w="2814"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Cs w:val="21"/>
              </w:rPr>
            </w:pPr>
            <w:r>
              <w:rPr>
                <w:rFonts w:hint="eastAsia" w:ascii="宋体" w:hAnsi="宋体"/>
                <w:color w:val="000000"/>
                <w:szCs w:val="21"/>
              </w:rPr>
              <w:t>\</w:t>
            </w:r>
          </w:p>
        </w:tc>
        <w:tc>
          <w:tcPr>
            <w:tcW w:w="2651" w:type="dxa"/>
            <w:tcBorders>
              <w:top w:val="single" w:color="auto" w:sz="4" w:space="0"/>
              <w:left w:val="single" w:color="auto" w:sz="4" w:space="0"/>
              <w:bottom w:val="single" w:color="auto" w:sz="4" w:space="0"/>
              <w:right w:val="single" w:color="auto" w:sz="4" w:space="0"/>
            </w:tcBorders>
          </w:tcPr>
          <w:p>
            <w:pPr>
              <w:jc w:val="right"/>
              <w:rPr>
                <w:rFonts w:ascii="宋体" w:hAnsi="宋体"/>
                <w:color w:val="000000"/>
                <w:szCs w:val="21"/>
              </w:rPr>
            </w:pPr>
            <w:r>
              <w:rPr>
                <w:rFonts w:ascii="宋体" w:hAnsi="宋体"/>
                <w:color w:val="000000"/>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35" w:hRule="atLeast"/>
        </w:trPr>
        <w:tc>
          <w:tcPr>
            <w:tcW w:w="1800" w:type="dxa"/>
            <w:vMerge w:val="continue"/>
            <w:tcBorders>
              <w:left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360" w:type="dxa"/>
            <w:gridSpan w:val="2"/>
            <w:tcBorders>
              <w:top w:val="single" w:color="auto" w:sz="4" w:space="0"/>
              <w:left w:val="single" w:color="auto" w:sz="4" w:space="0"/>
              <w:bottom w:val="single" w:color="auto" w:sz="4" w:space="0"/>
              <w:right w:val="single" w:color="auto" w:sz="4" w:space="0"/>
            </w:tcBorders>
          </w:tcPr>
          <w:p>
            <w:pPr>
              <w:ind w:left="141" w:leftChars="67" w:right="48" w:rightChars="23"/>
              <w:jc w:val="center"/>
              <w:rPr>
                <w:rFonts w:ascii="宋体" w:hAnsi="宋体"/>
                <w:color w:val="000000"/>
                <w:szCs w:val="21"/>
              </w:rPr>
            </w:pPr>
            <w:r>
              <w:rPr>
                <w:rFonts w:hint="eastAsia" w:ascii="宋体" w:hAnsi="宋体"/>
                <w:color w:val="000000"/>
                <w:szCs w:val="21"/>
              </w:rPr>
              <w:t>\</w:t>
            </w:r>
          </w:p>
        </w:tc>
        <w:tc>
          <w:tcPr>
            <w:tcW w:w="2814"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Cs w:val="21"/>
              </w:rPr>
            </w:pPr>
            <w:r>
              <w:rPr>
                <w:rFonts w:hint="eastAsia" w:ascii="宋体" w:hAnsi="宋体"/>
                <w:color w:val="000000"/>
                <w:szCs w:val="21"/>
              </w:rPr>
              <w:t>\</w:t>
            </w:r>
          </w:p>
        </w:tc>
        <w:tc>
          <w:tcPr>
            <w:tcW w:w="2651" w:type="dxa"/>
            <w:tcBorders>
              <w:top w:val="single" w:color="auto" w:sz="4" w:space="0"/>
              <w:left w:val="single" w:color="auto" w:sz="4" w:space="0"/>
              <w:bottom w:val="single" w:color="auto" w:sz="4" w:space="0"/>
              <w:right w:val="single" w:color="auto" w:sz="4" w:space="0"/>
            </w:tcBorders>
          </w:tcPr>
          <w:p>
            <w:pPr>
              <w:jc w:val="right"/>
              <w:rPr>
                <w:rFonts w:ascii="宋体" w:hAnsi="宋体"/>
                <w:color w:val="000000"/>
                <w:szCs w:val="21"/>
              </w:rPr>
            </w:pPr>
            <w:r>
              <w:rPr>
                <w:rFonts w:ascii="宋体" w:hAnsi="宋体"/>
                <w:color w:val="000000"/>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35" w:hRule="atLeast"/>
        </w:trPr>
        <w:tc>
          <w:tcPr>
            <w:tcW w:w="1800" w:type="dxa"/>
            <w:vMerge w:val="continue"/>
            <w:tcBorders>
              <w:left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360" w:type="dxa"/>
            <w:gridSpan w:val="2"/>
            <w:tcBorders>
              <w:top w:val="single" w:color="auto" w:sz="4" w:space="0"/>
              <w:left w:val="single" w:color="auto" w:sz="4" w:space="0"/>
              <w:bottom w:val="single" w:color="auto" w:sz="4" w:space="0"/>
              <w:right w:val="single" w:color="auto" w:sz="4" w:space="0"/>
            </w:tcBorders>
          </w:tcPr>
          <w:p>
            <w:pPr>
              <w:ind w:left="141" w:leftChars="67" w:right="48" w:rightChars="23"/>
              <w:jc w:val="center"/>
              <w:rPr>
                <w:rFonts w:ascii="宋体" w:hAnsi="宋体"/>
                <w:color w:val="000000"/>
                <w:szCs w:val="21"/>
              </w:rPr>
            </w:pPr>
            <w:r>
              <w:rPr>
                <w:rFonts w:hint="eastAsia" w:ascii="宋体" w:hAnsi="宋体"/>
                <w:color w:val="000000"/>
                <w:szCs w:val="21"/>
              </w:rPr>
              <w:t>\</w:t>
            </w:r>
          </w:p>
        </w:tc>
        <w:tc>
          <w:tcPr>
            <w:tcW w:w="2814" w:type="dxa"/>
            <w:tcBorders>
              <w:top w:val="single" w:color="auto" w:sz="4" w:space="0"/>
              <w:left w:val="single" w:color="auto" w:sz="4" w:space="0"/>
              <w:bottom w:val="single" w:color="auto" w:sz="4" w:space="0"/>
              <w:right w:val="single" w:color="auto" w:sz="4" w:space="0"/>
            </w:tcBorders>
          </w:tcPr>
          <w:p>
            <w:pPr>
              <w:jc w:val="center"/>
              <w:rPr>
                <w:rFonts w:ascii="宋体" w:hAnsi="宋体"/>
                <w:color w:val="000000"/>
                <w:szCs w:val="21"/>
              </w:rPr>
            </w:pPr>
            <w:r>
              <w:rPr>
                <w:rFonts w:hint="eastAsia" w:ascii="宋体" w:hAnsi="宋体"/>
                <w:color w:val="000000"/>
                <w:szCs w:val="21"/>
              </w:rPr>
              <w:t>\</w:t>
            </w:r>
          </w:p>
        </w:tc>
        <w:tc>
          <w:tcPr>
            <w:tcW w:w="2651" w:type="dxa"/>
            <w:tcBorders>
              <w:top w:val="single" w:color="auto" w:sz="4" w:space="0"/>
              <w:left w:val="single" w:color="auto" w:sz="4" w:space="0"/>
              <w:bottom w:val="single" w:color="auto" w:sz="4" w:space="0"/>
              <w:right w:val="single" w:color="auto" w:sz="4" w:space="0"/>
            </w:tcBorders>
          </w:tcPr>
          <w:p>
            <w:pPr>
              <w:jc w:val="right"/>
              <w:rPr>
                <w:rFonts w:ascii="宋体" w:hAnsi="宋体"/>
                <w:color w:val="000000"/>
                <w:szCs w:val="21"/>
              </w:rPr>
            </w:pPr>
            <w:r>
              <w:rPr>
                <w:rFonts w:ascii="宋体" w:hAnsi="宋体"/>
                <w:color w:val="000000"/>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776"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5.2</w:t>
            </w:r>
            <w:r>
              <w:rPr>
                <w:rFonts w:hint="eastAsia" w:ascii="宋体" w:hAnsi="宋体"/>
                <w:color w:val="000000"/>
                <w:szCs w:val="21"/>
              </w:rPr>
              <w:t>试验、</w:t>
            </w:r>
            <w:r>
              <w:rPr>
                <w:rFonts w:ascii="宋体" w:hAnsi="宋体"/>
                <w:color w:val="000000"/>
                <w:szCs w:val="21"/>
              </w:rPr>
              <w:t xml:space="preserve"> 验证</w:t>
            </w:r>
            <w:r>
              <w:rPr>
                <w:rFonts w:hint="eastAsia" w:ascii="宋体" w:hAnsi="宋体"/>
                <w:color w:val="000000"/>
                <w:szCs w:val="21"/>
              </w:rPr>
              <w:t>、试行</w:t>
            </w:r>
            <w:r>
              <w:rPr>
                <w:rFonts w:ascii="宋体" w:hAnsi="宋体"/>
                <w:color w:val="000000"/>
                <w:szCs w:val="21"/>
              </w:rPr>
              <w:t>过程</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698"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5.3 验证数据分析</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119"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 xml:space="preserve">5.4 </w:t>
            </w:r>
            <w:r>
              <w:rPr>
                <w:rFonts w:hint="eastAsia" w:ascii="宋体" w:hAnsi="宋体"/>
                <w:color w:val="000000"/>
                <w:szCs w:val="21"/>
              </w:rPr>
              <w:t>试验、</w:t>
            </w:r>
            <w:r>
              <w:rPr>
                <w:rFonts w:ascii="宋体" w:hAnsi="宋体"/>
                <w:color w:val="000000"/>
                <w:szCs w:val="21"/>
              </w:rPr>
              <w:t>验证</w:t>
            </w:r>
            <w:r>
              <w:rPr>
                <w:rFonts w:hint="eastAsia" w:ascii="宋体" w:hAnsi="宋体"/>
                <w:color w:val="000000"/>
                <w:szCs w:val="21"/>
              </w:rPr>
              <w:t>、试行</w:t>
            </w:r>
            <w:r>
              <w:rPr>
                <w:rFonts w:ascii="宋体" w:hAnsi="宋体"/>
                <w:color w:val="000000"/>
                <w:szCs w:val="21"/>
              </w:rPr>
              <w:t>评价</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026"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5.5 其他应说明的情况</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bl>
    <w:p>
      <w:pPr>
        <w:rPr>
          <w:rFonts w:eastAsia="仿宋_GB2312"/>
          <w:b/>
          <w:color w:val="000000"/>
          <w:kern w:val="0"/>
          <w:sz w:val="32"/>
        </w:rPr>
      </w:pPr>
    </w:p>
    <w:p>
      <w:pPr>
        <w:rPr>
          <w:rFonts w:eastAsia="仿宋_GB2312"/>
          <w:b/>
          <w:color w:val="000000"/>
          <w:kern w:val="0"/>
          <w:sz w:val="32"/>
        </w:rPr>
      </w:pPr>
    </w:p>
    <w:tbl>
      <w:tblPr>
        <w:tblStyle w:val="52"/>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94"/>
        <w:gridCol w:w="6"/>
        <w:gridCol w:w="1288"/>
        <w:gridCol w:w="1080"/>
        <w:gridCol w:w="1620"/>
        <w:gridCol w:w="1440"/>
        <w:gridCol w:w="239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58" w:hRule="atLeast"/>
        </w:trPr>
        <w:tc>
          <w:tcPr>
            <w:tcW w:w="9625" w:type="dxa"/>
            <w:gridSpan w:val="7"/>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6  附加说明（可选项）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975"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6.1 宣贯标准的建议</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838"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6.2 修订和废除现行有关标准的建议</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174"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w:t>
            </w:r>
            <w:r>
              <w:rPr>
                <w:rFonts w:hint="eastAsia" w:ascii="宋体" w:hAnsi="宋体"/>
                <w:color w:val="000000"/>
                <w:szCs w:val="21"/>
              </w:rPr>
              <w:t>3重大分歧意见的处理经过和依据</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2028"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6.4 其他需要说明的情况</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1721"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6.5 参考文献</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95" w:hRule="atLeast"/>
        </w:trPr>
        <w:tc>
          <w:tcPr>
            <w:tcW w:w="18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联系人</w:t>
            </w:r>
          </w:p>
        </w:tc>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林晓川</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联系电话</w:t>
            </w:r>
          </w:p>
        </w:tc>
        <w:tc>
          <w:tcPr>
            <w:tcW w:w="162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15011460801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电子邮箱</w:t>
            </w:r>
          </w:p>
        </w:tc>
        <w:tc>
          <w:tcPr>
            <w:tcW w:w="23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lxc2008lxc@163.com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95" w:hRule="atLeast"/>
        </w:trPr>
        <w:tc>
          <w:tcPr>
            <w:tcW w:w="9625" w:type="dxa"/>
            <w:gridSpan w:val="7"/>
            <w:tcBorders>
              <w:top w:val="single" w:color="auto" w:sz="4" w:space="0"/>
              <w:left w:val="single" w:color="auto" w:sz="4" w:space="0"/>
              <w:bottom w:val="single" w:color="auto" w:sz="4" w:space="0"/>
              <w:right w:val="single" w:color="auto" w:sz="4" w:space="0"/>
            </w:tcBorders>
            <w:vAlign w:val="center"/>
          </w:tcPr>
          <w:p>
            <w:pPr>
              <w:adjustRightInd w:val="0"/>
              <w:spacing w:before="60" w:line="360" w:lineRule="auto"/>
              <w:ind w:firstLine="441" w:firstLineChars="210"/>
              <w:rPr>
                <w:rFonts w:ascii="宋体" w:hAnsi="宋体"/>
                <w:color w:val="000000"/>
                <w:szCs w:val="21"/>
              </w:rPr>
            </w:pPr>
            <w:r>
              <w:rPr>
                <w:rFonts w:ascii="宋体" w:hAnsi="宋体"/>
                <w:color w:val="000000"/>
                <w:szCs w:val="21"/>
              </w:rPr>
              <w:t>注1：本</w:t>
            </w:r>
            <w:r>
              <w:rPr>
                <w:rFonts w:hint="eastAsia" w:ascii="宋体" w:hAnsi="宋体"/>
                <w:color w:val="000000"/>
                <w:szCs w:val="21"/>
              </w:rPr>
              <w:t>格式</w:t>
            </w:r>
            <w:r>
              <w:rPr>
                <w:rFonts w:ascii="宋体" w:hAnsi="宋体"/>
                <w:color w:val="000000"/>
                <w:szCs w:val="21"/>
              </w:rPr>
              <w:t>的</w:t>
            </w:r>
            <w:r>
              <w:rPr>
                <w:rFonts w:hint="eastAsia" w:ascii="宋体" w:hAnsi="宋体"/>
                <w:color w:val="000000"/>
                <w:szCs w:val="21"/>
              </w:rPr>
              <w:t>通用</w:t>
            </w:r>
            <w:r>
              <w:rPr>
                <w:rFonts w:ascii="宋体" w:hAnsi="宋体"/>
                <w:color w:val="000000"/>
                <w:szCs w:val="21"/>
              </w:rPr>
              <w:t>部分为第1章、第2章、第4章和第6章。</w:t>
            </w:r>
          </w:p>
          <w:p>
            <w:pPr>
              <w:adjustRightInd w:val="0"/>
              <w:spacing w:before="60" w:line="360" w:lineRule="auto"/>
              <w:ind w:firstLine="441" w:firstLineChars="210"/>
              <w:rPr>
                <w:rFonts w:ascii="宋体" w:hAnsi="宋体"/>
                <w:color w:val="000000"/>
                <w:szCs w:val="21"/>
              </w:rPr>
            </w:pPr>
            <w:r>
              <w:rPr>
                <w:rFonts w:ascii="宋体" w:hAnsi="宋体"/>
                <w:color w:val="000000"/>
                <w:szCs w:val="21"/>
              </w:rPr>
              <w:t>注2：3.4适用于标准草案送审稿，3.5适用于标准草案报批稿，3.6中</w:t>
            </w:r>
            <w:r>
              <w:rPr>
                <w:rFonts w:hint="eastAsia" w:ascii="宋体" w:hAnsi="宋体"/>
                <w:color w:val="000000"/>
                <w:szCs w:val="21"/>
              </w:rPr>
              <w:t>“</w:t>
            </w:r>
            <w:r>
              <w:rPr>
                <w:rFonts w:ascii="宋体" w:hAnsi="宋体"/>
                <w:color w:val="000000"/>
                <w:szCs w:val="21"/>
              </w:rPr>
              <w:t>预期的管理目标</w:t>
            </w:r>
            <w:r>
              <w:rPr>
                <w:rFonts w:hint="eastAsia" w:ascii="宋体" w:hAnsi="宋体"/>
                <w:color w:val="000000"/>
                <w:szCs w:val="21"/>
              </w:rPr>
              <w:t>”</w:t>
            </w:r>
            <w:r>
              <w:rPr>
                <w:rFonts w:ascii="宋体" w:hAnsi="宋体"/>
                <w:color w:val="000000"/>
                <w:szCs w:val="21"/>
              </w:rPr>
              <w:t>适用于规程类标准，3.6中</w:t>
            </w:r>
            <w:r>
              <w:rPr>
                <w:rFonts w:hint="eastAsia" w:ascii="宋体" w:hAnsi="宋体"/>
                <w:color w:val="000000"/>
                <w:szCs w:val="21"/>
              </w:rPr>
              <w:t>“</w:t>
            </w:r>
            <w:r>
              <w:rPr>
                <w:rFonts w:ascii="宋体" w:hAnsi="宋体"/>
                <w:color w:val="000000"/>
                <w:szCs w:val="21"/>
              </w:rPr>
              <w:t>技术指标</w:t>
            </w:r>
            <w:r>
              <w:rPr>
                <w:rFonts w:hint="eastAsia" w:ascii="宋体" w:hAnsi="宋体"/>
                <w:color w:val="000000"/>
                <w:szCs w:val="21"/>
              </w:rPr>
              <w:t>”</w:t>
            </w:r>
            <w:r>
              <w:rPr>
                <w:rFonts w:ascii="宋体" w:hAnsi="宋体"/>
                <w:color w:val="000000"/>
                <w:szCs w:val="21"/>
              </w:rPr>
              <w:t>适用于方法类标准，第5章适用于方法类标准编制说明的编写。</w:t>
            </w:r>
          </w:p>
          <w:p>
            <w:pPr>
              <w:adjustRightInd w:val="0"/>
              <w:spacing w:before="60" w:line="360" w:lineRule="auto"/>
              <w:ind w:firstLine="441" w:firstLineChars="210"/>
              <w:rPr>
                <w:rFonts w:ascii="宋体" w:hAnsi="宋体"/>
                <w:color w:val="000000"/>
                <w:szCs w:val="21"/>
              </w:rPr>
            </w:pPr>
            <w:r>
              <w:rPr>
                <w:rFonts w:ascii="宋体" w:hAnsi="宋体"/>
                <w:color w:val="000000"/>
                <w:szCs w:val="21"/>
              </w:rPr>
              <w:t>注3：3.1和第6章为可选项，其余为必填项。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95" w:hRule="atLeast"/>
        </w:trPr>
        <w:tc>
          <w:tcPr>
            <w:tcW w:w="9625" w:type="dxa"/>
            <w:gridSpan w:val="7"/>
            <w:tcBorders>
              <w:top w:val="single" w:color="auto" w:sz="4" w:space="0"/>
              <w:left w:val="nil"/>
              <w:bottom w:val="nil"/>
              <w:right w:val="nil"/>
            </w:tcBorders>
            <w:vAlign w:val="center"/>
          </w:tcPr>
          <w:p>
            <w:pPr>
              <w:wordWrap w:val="0"/>
              <w:ind w:right="480"/>
              <w:jc w:val="right"/>
              <w:rPr>
                <w:rFonts w:ascii="宋体" w:hAnsi="宋体"/>
                <w:color w:val="000000"/>
                <w:szCs w:val="21"/>
              </w:rPr>
            </w:pPr>
            <w:r>
              <w:rPr>
                <w:rFonts w:ascii="宋体" w:hAnsi="宋体"/>
                <w:color w:val="000000"/>
                <w:szCs w:val="21"/>
              </w:rPr>
              <w:t xml:space="preserve">编写日期： </w:t>
            </w:r>
            <w:r>
              <w:rPr>
                <w:rFonts w:hint="eastAsia" w:ascii="宋体" w:hAnsi="宋体"/>
                <w:color w:val="000000"/>
                <w:szCs w:val="21"/>
              </w:rPr>
              <w:t>2020</w:t>
            </w:r>
            <w:r>
              <w:rPr>
                <w:rFonts w:ascii="宋体" w:hAnsi="宋体"/>
                <w:color w:val="000000"/>
                <w:szCs w:val="21"/>
              </w:rPr>
              <w:t xml:space="preserve">   年  </w:t>
            </w:r>
            <w:r>
              <w:rPr>
                <w:rFonts w:hint="eastAsia" w:ascii="宋体" w:hAnsi="宋体"/>
                <w:color w:val="000000"/>
                <w:szCs w:val="21"/>
              </w:rPr>
              <w:t>1</w:t>
            </w:r>
            <w:r>
              <w:rPr>
                <w:rFonts w:ascii="宋体" w:hAnsi="宋体"/>
                <w:color w:val="000000"/>
                <w:szCs w:val="21"/>
              </w:rPr>
              <w:t xml:space="preserve">  月  </w:t>
            </w:r>
            <w:r>
              <w:rPr>
                <w:rFonts w:hint="eastAsia" w:ascii="宋体" w:hAnsi="宋体"/>
                <w:color w:val="000000"/>
                <w:szCs w:val="21"/>
              </w:rPr>
              <w:t>10</w:t>
            </w:r>
            <w:r>
              <w:rPr>
                <w:rFonts w:ascii="宋体" w:hAnsi="宋体"/>
                <w:color w:val="000000"/>
                <w:szCs w:val="21"/>
              </w:rPr>
              <w:t xml:space="preserve">  日</w:t>
            </w:r>
          </w:p>
        </w:tc>
      </w:tr>
    </w:tbl>
    <w:p>
      <w:pPr>
        <w:rPr>
          <w:rFonts w:eastAsia="方正仿宋简体"/>
          <w:b/>
          <w:snapToGrid w:val="0"/>
          <w:color w:val="000000"/>
          <w:kern w:val="0"/>
          <w:sz w:val="32"/>
          <w:szCs w:val="32"/>
        </w:rPr>
      </w:pPr>
    </w:p>
    <w:sectPr>
      <w:headerReference r:id="rId3" w:type="default"/>
      <w:footerReference r:id="rId4" w:type="default"/>
      <w:footerReference r:id="rId5" w:type="even"/>
      <w:pgSz w:w="11907" w:h="16840"/>
      <w:pgMar w:top="1758" w:right="1418" w:bottom="1758" w:left="1418" w:header="851" w:footer="1134" w:gutter="0"/>
      <w:pgNumType w:start="1"/>
      <w:cols w:space="720" w:num="1"/>
      <w:titlePg/>
      <w:docGrid w:type="lines" w:linePitch="291" w:charSpace="-37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roma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4"/>
        <w:szCs w:val="24"/>
      </w:rPr>
    </w:pPr>
    <w:r>
      <w:rPr>
        <w:rFonts w:hint="eastAsia"/>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4</w:t>
    </w:r>
    <w:r>
      <w:rPr>
        <w:sz w:val="24"/>
        <w:szCs w:val="24"/>
      </w:rPr>
      <w:fldChar w:fldCharType="end"/>
    </w:r>
    <w:r>
      <w:rPr>
        <w:rFonts w:hint="eastAsia"/>
        <w:sz w:val="24"/>
        <w:szCs w:val="24"/>
      </w:rPr>
      <w:t>-</w:t>
    </w: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39"/>
      </w:rPr>
    </w:pPr>
    <w:r>
      <w:fldChar w:fldCharType="begin"/>
    </w:r>
    <w:r>
      <w:rPr>
        <w:rStyle w:val="39"/>
      </w:rPr>
      <w:instrText xml:space="preserve">PAGE  </w:instrText>
    </w:r>
    <w:r>
      <w:fldChar w:fldCharType="end"/>
    </w:r>
  </w:p>
  <w:p>
    <w:pPr>
      <w:pStyle w:val="79"/>
      <w:ind w:right="360"/>
      <w:rPr>
        <w:rStyle w:val="39"/>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66"/>
      <w:suff w:val="nothing"/>
      <w:lvlText w:val="%1%2.%3.%4　"/>
      <w:lvlJc w:val="left"/>
      <w:pPr>
        <w:ind w:left="0" w:firstLine="0"/>
      </w:pPr>
      <w:rPr>
        <w:rFonts w:hint="eastAsia" w:ascii="黑体" w:hAnsi="Times New Roman" w:eastAsia="黑体"/>
        <w:b w:val="0"/>
        <w:i w:val="0"/>
        <w:sz w:val="21"/>
      </w:rPr>
    </w:lvl>
    <w:lvl w:ilvl="4" w:tentative="0">
      <w:start w:val="1"/>
      <w:numFmt w:val="decimal"/>
      <w:pStyle w:val="107"/>
      <w:suff w:val="nothing"/>
      <w:lvlText w:val="%1%2.%3.%4.%5　"/>
      <w:lvlJc w:val="left"/>
      <w:pPr>
        <w:ind w:left="0" w:firstLine="0"/>
      </w:pPr>
      <w:rPr>
        <w:rFonts w:hint="eastAsia" w:ascii="黑体" w:hAnsi="Times New Roman" w:eastAsia="黑体"/>
        <w:b w:val="0"/>
        <w:i w:val="0"/>
        <w:sz w:val="21"/>
      </w:rPr>
    </w:lvl>
    <w:lvl w:ilvl="5" w:tentative="0">
      <w:start w:val="1"/>
      <w:numFmt w:val="decimal"/>
      <w:pStyle w:val="110"/>
      <w:suff w:val="nothing"/>
      <w:lvlText w:val="%1%2.%3.%4.%5.%6　"/>
      <w:lvlJc w:val="left"/>
      <w:pPr>
        <w:ind w:left="0" w:firstLine="0"/>
      </w:pPr>
      <w:rPr>
        <w:rFonts w:hint="eastAsia" w:ascii="黑体" w:hAnsi="Times New Roman" w:eastAsia="黑体"/>
        <w:b w:val="0"/>
        <w:i w:val="0"/>
        <w:sz w:val="21"/>
      </w:rPr>
    </w:lvl>
    <w:lvl w:ilvl="6" w:tentative="0">
      <w:start w:val="1"/>
      <w:numFmt w:val="decimal"/>
      <w:pStyle w:val="11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tentative="0">
      <w:start w:val="1"/>
      <w:numFmt w:val="none"/>
      <w:pStyle w:val="65"/>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7E65F9"/>
    <w:multiLevelType w:val="multilevel"/>
    <w:tmpl w:val="407E65F9"/>
    <w:lvl w:ilvl="0" w:tentative="0">
      <w:start w:val="1"/>
      <w:numFmt w:val="none"/>
      <w:pStyle w:val="104"/>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96E4D7B"/>
    <w:multiLevelType w:val="multilevel"/>
    <w:tmpl w:val="496E4D7B"/>
    <w:lvl w:ilvl="0" w:tentative="0">
      <w:start w:val="1"/>
      <w:numFmt w:val="none"/>
      <w:pStyle w:val="121"/>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7C2AF5"/>
    <w:multiLevelType w:val="multilevel"/>
    <w:tmpl w:val="557C2AF5"/>
    <w:lvl w:ilvl="0" w:tentative="0">
      <w:start w:val="1"/>
      <w:numFmt w:val="decimal"/>
      <w:pStyle w:val="11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tentative="0">
      <w:start w:val="1"/>
      <w:numFmt w:val="decimal"/>
      <w:pStyle w:val="11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tentative="0">
      <w:start w:val="1"/>
      <w:numFmt w:val="upperLetter"/>
      <w:pStyle w:val="100"/>
      <w:suff w:val="nothing"/>
      <w:lvlText w:val="附　录　%1"/>
      <w:lvlJc w:val="left"/>
      <w:pPr>
        <w:ind w:left="0" w:firstLine="0"/>
      </w:pPr>
      <w:rPr>
        <w:rFonts w:hint="eastAsia" w:ascii="黑体" w:hAnsi="Times New Roman" w:eastAsia="黑体"/>
        <w:b w:val="0"/>
        <w:i w:val="0"/>
        <w:sz w:val="21"/>
      </w:rPr>
    </w:lvl>
    <w:lvl w:ilvl="1" w:tentative="0">
      <w:start w:val="1"/>
      <w:numFmt w:val="decimal"/>
      <w:pStyle w:val="7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4"/>
      <w:suff w:val="nothing"/>
      <w:lvlText w:val="%1.%2.%3　"/>
      <w:lvlJc w:val="left"/>
      <w:pPr>
        <w:ind w:left="0" w:firstLine="0"/>
      </w:pPr>
      <w:rPr>
        <w:rFonts w:hint="eastAsia" w:ascii="黑体" w:hAnsi="Times New Roman" w:eastAsia="黑体"/>
        <w:b w:val="0"/>
        <w:i w:val="0"/>
        <w:sz w:val="21"/>
      </w:rPr>
    </w:lvl>
    <w:lvl w:ilvl="3" w:tentative="0">
      <w:start w:val="1"/>
      <w:numFmt w:val="decimal"/>
      <w:pStyle w:val="73"/>
      <w:suff w:val="nothing"/>
      <w:lvlText w:val="%1.%2.%3.%4　"/>
      <w:lvlJc w:val="left"/>
      <w:pPr>
        <w:ind w:left="0" w:firstLine="0"/>
      </w:pPr>
      <w:rPr>
        <w:rFonts w:hint="eastAsia" w:ascii="黑体" w:hAnsi="Times New Roman" w:eastAsia="黑体"/>
        <w:b w:val="0"/>
        <w:i w:val="0"/>
        <w:sz w:val="21"/>
      </w:rPr>
    </w:lvl>
    <w:lvl w:ilvl="4" w:tentative="0">
      <w:start w:val="1"/>
      <w:numFmt w:val="decimal"/>
      <w:pStyle w:val="72"/>
      <w:suff w:val="nothing"/>
      <w:lvlText w:val="%1.%2.%3.%4.%5　"/>
      <w:lvlJc w:val="left"/>
      <w:pPr>
        <w:ind w:left="0" w:firstLine="0"/>
      </w:pPr>
      <w:rPr>
        <w:rFonts w:hint="eastAsia" w:ascii="黑体" w:hAnsi="Times New Roman" w:eastAsia="黑体"/>
        <w:b w:val="0"/>
        <w:i w:val="0"/>
        <w:sz w:val="21"/>
      </w:rPr>
    </w:lvl>
    <w:lvl w:ilvl="5" w:tentative="0">
      <w:start w:val="1"/>
      <w:numFmt w:val="decimal"/>
      <w:pStyle w:val="71"/>
      <w:suff w:val="nothing"/>
      <w:lvlText w:val="%1.%2.%3.%4.%5.%6　"/>
      <w:lvlJc w:val="left"/>
      <w:pPr>
        <w:ind w:left="0" w:firstLine="0"/>
      </w:pPr>
      <w:rPr>
        <w:rFonts w:hint="eastAsia" w:ascii="黑体" w:hAnsi="Times New Roman" w:eastAsia="黑体"/>
        <w:b w:val="0"/>
        <w:i w:val="0"/>
        <w:sz w:val="21"/>
      </w:rPr>
    </w:lvl>
    <w:lvl w:ilvl="6" w:tentative="0">
      <w:start w:val="1"/>
      <w:numFmt w:val="decimal"/>
      <w:pStyle w:val="8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78"/>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80"/>
      <w:suff w:val="nothing"/>
      <w:lvlText w:val="%1%2.%3.%4.%5　"/>
      <w:lvlJc w:val="left"/>
      <w:pPr>
        <w:ind w:left="0" w:firstLine="0"/>
      </w:pPr>
      <w:rPr>
        <w:rFonts w:hint="eastAsia" w:ascii="黑体" w:hAnsi="Times New Roman" w:eastAsia="黑体"/>
        <w:b w:val="0"/>
        <w:i w:val="0"/>
        <w:sz w:val="21"/>
      </w:rPr>
    </w:lvl>
    <w:lvl w:ilvl="5" w:tentative="0">
      <w:start w:val="1"/>
      <w:numFmt w:val="decimal"/>
      <w:pStyle w:val="109"/>
      <w:suff w:val="nothing"/>
      <w:lvlText w:val="%1%2.%3.%4.%5.%6　"/>
      <w:lvlJc w:val="left"/>
      <w:pPr>
        <w:ind w:left="0" w:firstLine="0"/>
      </w:pPr>
      <w:rPr>
        <w:rFonts w:hint="eastAsia" w:ascii="黑体" w:hAnsi="Times New Roman" w:eastAsia="黑体"/>
        <w:b w:val="0"/>
        <w:i w:val="0"/>
        <w:sz w:val="21"/>
      </w:rPr>
    </w:lvl>
    <w:lvl w:ilvl="6" w:tentative="0">
      <w:start w:val="1"/>
      <w:numFmt w:val="decimal"/>
      <w:pStyle w:val="115"/>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tentative="0">
      <w:start w:val="1"/>
      <w:numFmt w:val="none"/>
      <w:pStyle w:val="120"/>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6933334"/>
    <w:multiLevelType w:val="multilevel"/>
    <w:tmpl w:val="76933334"/>
    <w:lvl w:ilvl="0" w:tentative="0">
      <w:start w:val="1"/>
      <w:numFmt w:val="none"/>
      <w:pStyle w:val="103"/>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6"/>
  </w:num>
  <w:num w:numId="4">
    <w:abstractNumId w:val="7"/>
  </w:num>
  <w:num w:numId="5">
    <w:abstractNumId w:val="9"/>
  </w:num>
  <w:num w:numId="6">
    <w:abstractNumId w:val="2"/>
  </w:num>
  <w:num w:numId="7">
    <w:abstractNumId w:val="5"/>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96"/>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600"/>
    <w:rsid w:val="00001AD5"/>
    <w:rsid w:val="00003491"/>
    <w:rsid w:val="000037D2"/>
    <w:rsid w:val="000065A1"/>
    <w:rsid w:val="00012C67"/>
    <w:rsid w:val="00014276"/>
    <w:rsid w:val="00015100"/>
    <w:rsid w:val="00020D33"/>
    <w:rsid w:val="00021C6E"/>
    <w:rsid w:val="00022D05"/>
    <w:rsid w:val="00023A0F"/>
    <w:rsid w:val="00024649"/>
    <w:rsid w:val="0002669E"/>
    <w:rsid w:val="00027415"/>
    <w:rsid w:val="000449B0"/>
    <w:rsid w:val="000471B6"/>
    <w:rsid w:val="00047546"/>
    <w:rsid w:val="000501FC"/>
    <w:rsid w:val="000525A6"/>
    <w:rsid w:val="000555F5"/>
    <w:rsid w:val="00056034"/>
    <w:rsid w:val="00060C30"/>
    <w:rsid w:val="0006511B"/>
    <w:rsid w:val="00066DF5"/>
    <w:rsid w:val="00067912"/>
    <w:rsid w:val="00072C62"/>
    <w:rsid w:val="00076838"/>
    <w:rsid w:val="00076FE5"/>
    <w:rsid w:val="000913AA"/>
    <w:rsid w:val="00091710"/>
    <w:rsid w:val="00091BBF"/>
    <w:rsid w:val="00095480"/>
    <w:rsid w:val="000A1245"/>
    <w:rsid w:val="000A1780"/>
    <w:rsid w:val="000A408A"/>
    <w:rsid w:val="000A5135"/>
    <w:rsid w:val="000A6CE1"/>
    <w:rsid w:val="000A702B"/>
    <w:rsid w:val="000B15F1"/>
    <w:rsid w:val="000B3B53"/>
    <w:rsid w:val="000B4CE6"/>
    <w:rsid w:val="000C2358"/>
    <w:rsid w:val="000C795D"/>
    <w:rsid w:val="000C7D1E"/>
    <w:rsid w:val="000D0D61"/>
    <w:rsid w:val="000D11AC"/>
    <w:rsid w:val="000D14F2"/>
    <w:rsid w:val="000D4CD0"/>
    <w:rsid w:val="000D5EB5"/>
    <w:rsid w:val="000D6845"/>
    <w:rsid w:val="000E0F71"/>
    <w:rsid w:val="000E1472"/>
    <w:rsid w:val="000E343B"/>
    <w:rsid w:val="000E5568"/>
    <w:rsid w:val="000E5C8B"/>
    <w:rsid w:val="000F0490"/>
    <w:rsid w:val="000F1C53"/>
    <w:rsid w:val="000F234E"/>
    <w:rsid w:val="000F3D81"/>
    <w:rsid w:val="000F788D"/>
    <w:rsid w:val="00100BB8"/>
    <w:rsid w:val="00101C16"/>
    <w:rsid w:val="00104463"/>
    <w:rsid w:val="00104AC8"/>
    <w:rsid w:val="00105177"/>
    <w:rsid w:val="00105B9F"/>
    <w:rsid w:val="00107566"/>
    <w:rsid w:val="0011003E"/>
    <w:rsid w:val="00111A00"/>
    <w:rsid w:val="00114105"/>
    <w:rsid w:val="00115CB3"/>
    <w:rsid w:val="0011632B"/>
    <w:rsid w:val="001206FE"/>
    <w:rsid w:val="00121083"/>
    <w:rsid w:val="00122F0F"/>
    <w:rsid w:val="00124865"/>
    <w:rsid w:val="00126B2A"/>
    <w:rsid w:val="0012777A"/>
    <w:rsid w:val="00132A68"/>
    <w:rsid w:val="001331D7"/>
    <w:rsid w:val="00135A95"/>
    <w:rsid w:val="00136A7E"/>
    <w:rsid w:val="00142F68"/>
    <w:rsid w:val="00143336"/>
    <w:rsid w:val="00143401"/>
    <w:rsid w:val="00143C40"/>
    <w:rsid w:val="00145CC3"/>
    <w:rsid w:val="0015079E"/>
    <w:rsid w:val="00152D7E"/>
    <w:rsid w:val="00154115"/>
    <w:rsid w:val="00156A94"/>
    <w:rsid w:val="00162151"/>
    <w:rsid w:val="001621BF"/>
    <w:rsid w:val="00162298"/>
    <w:rsid w:val="00163D2E"/>
    <w:rsid w:val="00165B99"/>
    <w:rsid w:val="00172A27"/>
    <w:rsid w:val="00173798"/>
    <w:rsid w:val="00173E8B"/>
    <w:rsid w:val="00174E25"/>
    <w:rsid w:val="00176EB9"/>
    <w:rsid w:val="001828C2"/>
    <w:rsid w:val="001903A2"/>
    <w:rsid w:val="00195AED"/>
    <w:rsid w:val="001970C8"/>
    <w:rsid w:val="00197999"/>
    <w:rsid w:val="001A0134"/>
    <w:rsid w:val="001A168A"/>
    <w:rsid w:val="001B1538"/>
    <w:rsid w:val="001B17CC"/>
    <w:rsid w:val="001B3EB1"/>
    <w:rsid w:val="001B7439"/>
    <w:rsid w:val="001C0680"/>
    <w:rsid w:val="001C0B8E"/>
    <w:rsid w:val="001C384F"/>
    <w:rsid w:val="001C7ACD"/>
    <w:rsid w:val="001D039A"/>
    <w:rsid w:val="001D2338"/>
    <w:rsid w:val="001D717A"/>
    <w:rsid w:val="001E37A6"/>
    <w:rsid w:val="001E6600"/>
    <w:rsid w:val="001F162E"/>
    <w:rsid w:val="001F46BE"/>
    <w:rsid w:val="001F6DDE"/>
    <w:rsid w:val="001F7A0C"/>
    <w:rsid w:val="002045D5"/>
    <w:rsid w:val="0020499A"/>
    <w:rsid w:val="002050C9"/>
    <w:rsid w:val="0020534B"/>
    <w:rsid w:val="00213480"/>
    <w:rsid w:val="002139D7"/>
    <w:rsid w:val="002146D1"/>
    <w:rsid w:val="00214802"/>
    <w:rsid w:val="00214AD8"/>
    <w:rsid w:val="00214B78"/>
    <w:rsid w:val="00215982"/>
    <w:rsid w:val="00216A3B"/>
    <w:rsid w:val="00221686"/>
    <w:rsid w:val="00222AC5"/>
    <w:rsid w:val="00225EC8"/>
    <w:rsid w:val="002268C6"/>
    <w:rsid w:val="00232FD3"/>
    <w:rsid w:val="00234591"/>
    <w:rsid w:val="00234D6C"/>
    <w:rsid w:val="00243D10"/>
    <w:rsid w:val="00245229"/>
    <w:rsid w:val="00245893"/>
    <w:rsid w:val="00246E3B"/>
    <w:rsid w:val="00247988"/>
    <w:rsid w:val="00250799"/>
    <w:rsid w:val="00251D4A"/>
    <w:rsid w:val="002526E1"/>
    <w:rsid w:val="00257071"/>
    <w:rsid w:val="00265FBE"/>
    <w:rsid w:val="00270414"/>
    <w:rsid w:val="00271B36"/>
    <w:rsid w:val="00273C64"/>
    <w:rsid w:val="002762B8"/>
    <w:rsid w:val="002763D0"/>
    <w:rsid w:val="002826DE"/>
    <w:rsid w:val="002831FC"/>
    <w:rsid w:val="00287E6F"/>
    <w:rsid w:val="00291E81"/>
    <w:rsid w:val="00292F15"/>
    <w:rsid w:val="00292F8E"/>
    <w:rsid w:val="00294EC4"/>
    <w:rsid w:val="002A140C"/>
    <w:rsid w:val="002A1BF1"/>
    <w:rsid w:val="002A43A2"/>
    <w:rsid w:val="002A67B6"/>
    <w:rsid w:val="002B1A70"/>
    <w:rsid w:val="002B3036"/>
    <w:rsid w:val="002B4AF7"/>
    <w:rsid w:val="002C1971"/>
    <w:rsid w:val="002C2941"/>
    <w:rsid w:val="002C5CE4"/>
    <w:rsid w:val="002D02E7"/>
    <w:rsid w:val="002D20F2"/>
    <w:rsid w:val="002D5E7E"/>
    <w:rsid w:val="002D633F"/>
    <w:rsid w:val="002D67E2"/>
    <w:rsid w:val="002D6ED0"/>
    <w:rsid w:val="002E1947"/>
    <w:rsid w:val="002E28C5"/>
    <w:rsid w:val="002E35BF"/>
    <w:rsid w:val="002F0DE6"/>
    <w:rsid w:val="002F45EE"/>
    <w:rsid w:val="002F4B74"/>
    <w:rsid w:val="0030073B"/>
    <w:rsid w:val="00305AC4"/>
    <w:rsid w:val="00306CBC"/>
    <w:rsid w:val="003073C7"/>
    <w:rsid w:val="00312A0F"/>
    <w:rsid w:val="00312A4B"/>
    <w:rsid w:val="003131D2"/>
    <w:rsid w:val="00313385"/>
    <w:rsid w:val="00314FAB"/>
    <w:rsid w:val="00321005"/>
    <w:rsid w:val="003227D7"/>
    <w:rsid w:val="003239C0"/>
    <w:rsid w:val="0032534D"/>
    <w:rsid w:val="00326368"/>
    <w:rsid w:val="003279F1"/>
    <w:rsid w:val="003346EE"/>
    <w:rsid w:val="0033484C"/>
    <w:rsid w:val="00341376"/>
    <w:rsid w:val="00344552"/>
    <w:rsid w:val="00347C8B"/>
    <w:rsid w:val="00351452"/>
    <w:rsid w:val="00353543"/>
    <w:rsid w:val="003536C8"/>
    <w:rsid w:val="003546C0"/>
    <w:rsid w:val="00354A7F"/>
    <w:rsid w:val="003559F6"/>
    <w:rsid w:val="0036009E"/>
    <w:rsid w:val="0036599B"/>
    <w:rsid w:val="00365B3C"/>
    <w:rsid w:val="00371C18"/>
    <w:rsid w:val="00371E4A"/>
    <w:rsid w:val="00371EBB"/>
    <w:rsid w:val="003751BA"/>
    <w:rsid w:val="003827ED"/>
    <w:rsid w:val="00384733"/>
    <w:rsid w:val="00385748"/>
    <w:rsid w:val="00386047"/>
    <w:rsid w:val="003863F3"/>
    <w:rsid w:val="0039611D"/>
    <w:rsid w:val="00397098"/>
    <w:rsid w:val="00397D76"/>
    <w:rsid w:val="003A39B9"/>
    <w:rsid w:val="003A424B"/>
    <w:rsid w:val="003A5BC3"/>
    <w:rsid w:val="003A6A58"/>
    <w:rsid w:val="003B2404"/>
    <w:rsid w:val="003B3287"/>
    <w:rsid w:val="003B39C8"/>
    <w:rsid w:val="003B42E9"/>
    <w:rsid w:val="003B4BA1"/>
    <w:rsid w:val="003C19CA"/>
    <w:rsid w:val="003C31BD"/>
    <w:rsid w:val="003C49BC"/>
    <w:rsid w:val="003C5970"/>
    <w:rsid w:val="003C5AC1"/>
    <w:rsid w:val="003D1718"/>
    <w:rsid w:val="003D4B7D"/>
    <w:rsid w:val="003D4CCE"/>
    <w:rsid w:val="003D599A"/>
    <w:rsid w:val="003D5A36"/>
    <w:rsid w:val="003E5D78"/>
    <w:rsid w:val="003E6942"/>
    <w:rsid w:val="003E7769"/>
    <w:rsid w:val="003E7BC0"/>
    <w:rsid w:val="003F3CC1"/>
    <w:rsid w:val="00401712"/>
    <w:rsid w:val="00403580"/>
    <w:rsid w:val="004056C2"/>
    <w:rsid w:val="00406723"/>
    <w:rsid w:val="004079C8"/>
    <w:rsid w:val="004135E4"/>
    <w:rsid w:val="0042117C"/>
    <w:rsid w:val="0042404B"/>
    <w:rsid w:val="0043582D"/>
    <w:rsid w:val="00436CEC"/>
    <w:rsid w:val="00437DF0"/>
    <w:rsid w:val="004422EA"/>
    <w:rsid w:val="00443250"/>
    <w:rsid w:val="004506A0"/>
    <w:rsid w:val="00456308"/>
    <w:rsid w:val="0045689A"/>
    <w:rsid w:val="00456AB0"/>
    <w:rsid w:val="00463DF6"/>
    <w:rsid w:val="00467A0C"/>
    <w:rsid w:val="0047255A"/>
    <w:rsid w:val="0047426C"/>
    <w:rsid w:val="0047467F"/>
    <w:rsid w:val="00476640"/>
    <w:rsid w:val="004821FE"/>
    <w:rsid w:val="0048765D"/>
    <w:rsid w:val="00487F12"/>
    <w:rsid w:val="00491B3A"/>
    <w:rsid w:val="00491FFA"/>
    <w:rsid w:val="004934E6"/>
    <w:rsid w:val="00493893"/>
    <w:rsid w:val="004938A1"/>
    <w:rsid w:val="0049599B"/>
    <w:rsid w:val="004A0D8A"/>
    <w:rsid w:val="004A4FDC"/>
    <w:rsid w:val="004A5843"/>
    <w:rsid w:val="004B37B3"/>
    <w:rsid w:val="004B4B4C"/>
    <w:rsid w:val="004B5246"/>
    <w:rsid w:val="004C215F"/>
    <w:rsid w:val="004C2557"/>
    <w:rsid w:val="004C70B5"/>
    <w:rsid w:val="004D5E39"/>
    <w:rsid w:val="004D6095"/>
    <w:rsid w:val="004D6444"/>
    <w:rsid w:val="004D7338"/>
    <w:rsid w:val="004E40CE"/>
    <w:rsid w:val="004F05BF"/>
    <w:rsid w:val="004F5D98"/>
    <w:rsid w:val="004F642A"/>
    <w:rsid w:val="00505DB1"/>
    <w:rsid w:val="00506F87"/>
    <w:rsid w:val="00507B92"/>
    <w:rsid w:val="00510BC3"/>
    <w:rsid w:val="00512A9D"/>
    <w:rsid w:val="005135AC"/>
    <w:rsid w:val="005176CC"/>
    <w:rsid w:val="005309C5"/>
    <w:rsid w:val="00544603"/>
    <w:rsid w:val="005454CE"/>
    <w:rsid w:val="0055147E"/>
    <w:rsid w:val="005548F8"/>
    <w:rsid w:val="00555303"/>
    <w:rsid w:val="00555FF2"/>
    <w:rsid w:val="00557671"/>
    <w:rsid w:val="005647BF"/>
    <w:rsid w:val="00574AE5"/>
    <w:rsid w:val="00576510"/>
    <w:rsid w:val="0057659A"/>
    <w:rsid w:val="00583CCC"/>
    <w:rsid w:val="00585419"/>
    <w:rsid w:val="005867C4"/>
    <w:rsid w:val="00590B1C"/>
    <w:rsid w:val="005925DF"/>
    <w:rsid w:val="00593BEA"/>
    <w:rsid w:val="005945B8"/>
    <w:rsid w:val="005A0E0F"/>
    <w:rsid w:val="005A24E0"/>
    <w:rsid w:val="005A63BF"/>
    <w:rsid w:val="005A66CB"/>
    <w:rsid w:val="005A785A"/>
    <w:rsid w:val="005B0C1C"/>
    <w:rsid w:val="005B2144"/>
    <w:rsid w:val="005B2E47"/>
    <w:rsid w:val="005B2F38"/>
    <w:rsid w:val="005B2FD0"/>
    <w:rsid w:val="005B4EFD"/>
    <w:rsid w:val="005B7535"/>
    <w:rsid w:val="005C0DE9"/>
    <w:rsid w:val="005C53B1"/>
    <w:rsid w:val="005C5985"/>
    <w:rsid w:val="005C5B5A"/>
    <w:rsid w:val="005C67C9"/>
    <w:rsid w:val="005C7441"/>
    <w:rsid w:val="005D32C5"/>
    <w:rsid w:val="005D7B9A"/>
    <w:rsid w:val="005E0C0B"/>
    <w:rsid w:val="005E128E"/>
    <w:rsid w:val="005E2069"/>
    <w:rsid w:val="005E51A3"/>
    <w:rsid w:val="005E65B3"/>
    <w:rsid w:val="005E750F"/>
    <w:rsid w:val="005E77FA"/>
    <w:rsid w:val="005F05C9"/>
    <w:rsid w:val="005F3142"/>
    <w:rsid w:val="005F3175"/>
    <w:rsid w:val="005F4E57"/>
    <w:rsid w:val="005F5C81"/>
    <w:rsid w:val="005F68C4"/>
    <w:rsid w:val="005F6AE2"/>
    <w:rsid w:val="005F7888"/>
    <w:rsid w:val="0060176C"/>
    <w:rsid w:val="00607E57"/>
    <w:rsid w:val="00613BB2"/>
    <w:rsid w:val="0061433E"/>
    <w:rsid w:val="00620635"/>
    <w:rsid w:val="00623DF3"/>
    <w:rsid w:val="00630A22"/>
    <w:rsid w:val="006313C2"/>
    <w:rsid w:val="0063419D"/>
    <w:rsid w:val="006350A9"/>
    <w:rsid w:val="00635D61"/>
    <w:rsid w:val="00641B49"/>
    <w:rsid w:val="00642188"/>
    <w:rsid w:val="006429BD"/>
    <w:rsid w:val="00644DB7"/>
    <w:rsid w:val="006470AC"/>
    <w:rsid w:val="00647235"/>
    <w:rsid w:val="00650490"/>
    <w:rsid w:val="00652828"/>
    <w:rsid w:val="0065388D"/>
    <w:rsid w:val="00653ED1"/>
    <w:rsid w:val="00655105"/>
    <w:rsid w:val="00656FC3"/>
    <w:rsid w:val="0066079F"/>
    <w:rsid w:val="00661134"/>
    <w:rsid w:val="00662B24"/>
    <w:rsid w:val="00663563"/>
    <w:rsid w:val="0066430B"/>
    <w:rsid w:val="00664FC1"/>
    <w:rsid w:val="006661EF"/>
    <w:rsid w:val="006676B9"/>
    <w:rsid w:val="0067052E"/>
    <w:rsid w:val="0067328A"/>
    <w:rsid w:val="006759B1"/>
    <w:rsid w:val="0067614A"/>
    <w:rsid w:val="0067788D"/>
    <w:rsid w:val="00681855"/>
    <w:rsid w:val="006860D7"/>
    <w:rsid w:val="00686B9D"/>
    <w:rsid w:val="006903B2"/>
    <w:rsid w:val="00691C85"/>
    <w:rsid w:val="00692E9D"/>
    <w:rsid w:val="00693010"/>
    <w:rsid w:val="0069459D"/>
    <w:rsid w:val="00694984"/>
    <w:rsid w:val="006979B5"/>
    <w:rsid w:val="006A03B7"/>
    <w:rsid w:val="006A667F"/>
    <w:rsid w:val="006B1DD6"/>
    <w:rsid w:val="006B35CD"/>
    <w:rsid w:val="006B44C8"/>
    <w:rsid w:val="006C2FDA"/>
    <w:rsid w:val="006C3803"/>
    <w:rsid w:val="006C5702"/>
    <w:rsid w:val="006C7A34"/>
    <w:rsid w:val="006D0147"/>
    <w:rsid w:val="006D2EC0"/>
    <w:rsid w:val="006D45A2"/>
    <w:rsid w:val="006E2E08"/>
    <w:rsid w:val="006E5264"/>
    <w:rsid w:val="006E7099"/>
    <w:rsid w:val="006F1EFE"/>
    <w:rsid w:val="006F2C6B"/>
    <w:rsid w:val="006F3306"/>
    <w:rsid w:val="007008F7"/>
    <w:rsid w:val="00702FA1"/>
    <w:rsid w:val="00703861"/>
    <w:rsid w:val="00704585"/>
    <w:rsid w:val="00706E5C"/>
    <w:rsid w:val="0070711B"/>
    <w:rsid w:val="007074BB"/>
    <w:rsid w:val="00707920"/>
    <w:rsid w:val="00712D66"/>
    <w:rsid w:val="00713ADE"/>
    <w:rsid w:val="007158CA"/>
    <w:rsid w:val="00715923"/>
    <w:rsid w:val="00717B46"/>
    <w:rsid w:val="00720BC2"/>
    <w:rsid w:val="00721258"/>
    <w:rsid w:val="00721780"/>
    <w:rsid w:val="00721EC6"/>
    <w:rsid w:val="007233AC"/>
    <w:rsid w:val="00723488"/>
    <w:rsid w:val="007239E8"/>
    <w:rsid w:val="00725B7B"/>
    <w:rsid w:val="007323E9"/>
    <w:rsid w:val="00733651"/>
    <w:rsid w:val="00734716"/>
    <w:rsid w:val="00735BCB"/>
    <w:rsid w:val="0073613C"/>
    <w:rsid w:val="00736B41"/>
    <w:rsid w:val="007377DC"/>
    <w:rsid w:val="00744594"/>
    <w:rsid w:val="0075336B"/>
    <w:rsid w:val="00753E95"/>
    <w:rsid w:val="00757041"/>
    <w:rsid w:val="00760D8C"/>
    <w:rsid w:val="007701D5"/>
    <w:rsid w:val="0077094D"/>
    <w:rsid w:val="00770A66"/>
    <w:rsid w:val="00772F48"/>
    <w:rsid w:val="00775B4F"/>
    <w:rsid w:val="00776B1E"/>
    <w:rsid w:val="007853F1"/>
    <w:rsid w:val="007925DD"/>
    <w:rsid w:val="00794C03"/>
    <w:rsid w:val="00796417"/>
    <w:rsid w:val="007A381A"/>
    <w:rsid w:val="007A4AA1"/>
    <w:rsid w:val="007A5A57"/>
    <w:rsid w:val="007A659B"/>
    <w:rsid w:val="007A679E"/>
    <w:rsid w:val="007B0B2B"/>
    <w:rsid w:val="007B271C"/>
    <w:rsid w:val="007B6449"/>
    <w:rsid w:val="007B75E7"/>
    <w:rsid w:val="007C02F8"/>
    <w:rsid w:val="007C09FA"/>
    <w:rsid w:val="007C0E4F"/>
    <w:rsid w:val="007C2AE5"/>
    <w:rsid w:val="007C53D2"/>
    <w:rsid w:val="007C7D05"/>
    <w:rsid w:val="007D0B7A"/>
    <w:rsid w:val="007E141A"/>
    <w:rsid w:val="007E1CF3"/>
    <w:rsid w:val="007E2E60"/>
    <w:rsid w:val="007E388B"/>
    <w:rsid w:val="007E3BE5"/>
    <w:rsid w:val="007E43CC"/>
    <w:rsid w:val="007E4B7B"/>
    <w:rsid w:val="007E578F"/>
    <w:rsid w:val="007E6A76"/>
    <w:rsid w:val="007F067F"/>
    <w:rsid w:val="007F09A2"/>
    <w:rsid w:val="007F0CD7"/>
    <w:rsid w:val="007F2172"/>
    <w:rsid w:val="007F2657"/>
    <w:rsid w:val="007F3D5D"/>
    <w:rsid w:val="007F4686"/>
    <w:rsid w:val="007F5135"/>
    <w:rsid w:val="007F61EF"/>
    <w:rsid w:val="00806C4E"/>
    <w:rsid w:val="008112B3"/>
    <w:rsid w:val="00812B64"/>
    <w:rsid w:val="00813103"/>
    <w:rsid w:val="0081331C"/>
    <w:rsid w:val="00814A2C"/>
    <w:rsid w:val="00816166"/>
    <w:rsid w:val="00821333"/>
    <w:rsid w:val="008213C1"/>
    <w:rsid w:val="00823F72"/>
    <w:rsid w:val="00824982"/>
    <w:rsid w:val="00830115"/>
    <w:rsid w:val="008312E3"/>
    <w:rsid w:val="008349DA"/>
    <w:rsid w:val="00835E18"/>
    <w:rsid w:val="00836606"/>
    <w:rsid w:val="008368D7"/>
    <w:rsid w:val="0085652B"/>
    <w:rsid w:val="008576BB"/>
    <w:rsid w:val="00860484"/>
    <w:rsid w:val="008606CA"/>
    <w:rsid w:val="0086131B"/>
    <w:rsid w:val="00862C03"/>
    <w:rsid w:val="00864671"/>
    <w:rsid w:val="00870079"/>
    <w:rsid w:val="008829BA"/>
    <w:rsid w:val="00890A40"/>
    <w:rsid w:val="00891296"/>
    <w:rsid w:val="0089568E"/>
    <w:rsid w:val="008A05A5"/>
    <w:rsid w:val="008A2AC2"/>
    <w:rsid w:val="008A42B0"/>
    <w:rsid w:val="008A4BA9"/>
    <w:rsid w:val="008A7D25"/>
    <w:rsid w:val="008B08E1"/>
    <w:rsid w:val="008B1729"/>
    <w:rsid w:val="008B3FEA"/>
    <w:rsid w:val="008C17B4"/>
    <w:rsid w:val="008C2785"/>
    <w:rsid w:val="008C2B53"/>
    <w:rsid w:val="008C3B14"/>
    <w:rsid w:val="008D16DF"/>
    <w:rsid w:val="008D2AC9"/>
    <w:rsid w:val="008D4D60"/>
    <w:rsid w:val="008D4F47"/>
    <w:rsid w:val="008E3432"/>
    <w:rsid w:val="008E4175"/>
    <w:rsid w:val="008F2F65"/>
    <w:rsid w:val="008F69A1"/>
    <w:rsid w:val="009007FD"/>
    <w:rsid w:val="00902749"/>
    <w:rsid w:val="0091240F"/>
    <w:rsid w:val="00913151"/>
    <w:rsid w:val="00913A49"/>
    <w:rsid w:val="00916797"/>
    <w:rsid w:val="0092011B"/>
    <w:rsid w:val="00921F24"/>
    <w:rsid w:val="00931D59"/>
    <w:rsid w:val="00932B37"/>
    <w:rsid w:val="00937021"/>
    <w:rsid w:val="00946E0B"/>
    <w:rsid w:val="00947E40"/>
    <w:rsid w:val="00950369"/>
    <w:rsid w:val="00950992"/>
    <w:rsid w:val="00952DB9"/>
    <w:rsid w:val="00955419"/>
    <w:rsid w:val="009578C9"/>
    <w:rsid w:val="0096041E"/>
    <w:rsid w:val="00960557"/>
    <w:rsid w:val="00966B76"/>
    <w:rsid w:val="00971000"/>
    <w:rsid w:val="00971125"/>
    <w:rsid w:val="009732CB"/>
    <w:rsid w:val="00980150"/>
    <w:rsid w:val="00980B5A"/>
    <w:rsid w:val="00982752"/>
    <w:rsid w:val="00984CFD"/>
    <w:rsid w:val="0098544E"/>
    <w:rsid w:val="00985CDC"/>
    <w:rsid w:val="009865BB"/>
    <w:rsid w:val="009871AC"/>
    <w:rsid w:val="00991894"/>
    <w:rsid w:val="009967E7"/>
    <w:rsid w:val="009A0CB2"/>
    <w:rsid w:val="009A18C8"/>
    <w:rsid w:val="009A25F3"/>
    <w:rsid w:val="009A4272"/>
    <w:rsid w:val="009A4A0D"/>
    <w:rsid w:val="009A53E0"/>
    <w:rsid w:val="009B5C44"/>
    <w:rsid w:val="009B5C5B"/>
    <w:rsid w:val="009B72F4"/>
    <w:rsid w:val="009C0D8D"/>
    <w:rsid w:val="009C14D0"/>
    <w:rsid w:val="009C5AD1"/>
    <w:rsid w:val="009C75E1"/>
    <w:rsid w:val="009D11D2"/>
    <w:rsid w:val="009D2A0F"/>
    <w:rsid w:val="009D79EC"/>
    <w:rsid w:val="009D79F8"/>
    <w:rsid w:val="009E5D07"/>
    <w:rsid w:val="009F1D4E"/>
    <w:rsid w:val="009F4176"/>
    <w:rsid w:val="009F4DB5"/>
    <w:rsid w:val="009F6AD8"/>
    <w:rsid w:val="009F73F6"/>
    <w:rsid w:val="009F7B82"/>
    <w:rsid w:val="00A00ECF"/>
    <w:rsid w:val="00A03BC6"/>
    <w:rsid w:val="00A03DFB"/>
    <w:rsid w:val="00A0482F"/>
    <w:rsid w:val="00A0766F"/>
    <w:rsid w:val="00A0793E"/>
    <w:rsid w:val="00A11715"/>
    <w:rsid w:val="00A14A23"/>
    <w:rsid w:val="00A17DD9"/>
    <w:rsid w:val="00A202BB"/>
    <w:rsid w:val="00A23B2D"/>
    <w:rsid w:val="00A26173"/>
    <w:rsid w:val="00A26F01"/>
    <w:rsid w:val="00A2765F"/>
    <w:rsid w:val="00A27D90"/>
    <w:rsid w:val="00A31843"/>
    <w:rsid w:val="00A3321F"/>
    <w:rsid w:val="00A351FE"/>
    <w:rsid w:val="00A40B87"/>
    <w:rsid w:val="00A41592"/>
    <w:rsid w:val="00A45456"/>
    <w:rsid w:val="00A5121B"/>
    <w:rsid w:val="00A57333"/>
    <w:rsid w:val="00A66073"/>
    <w:rsid w:val="00A66A91"/>
    <w:rsid w:val="00A67094"/>
    <w:rsid w:val="00A729BC"/>
    <w:rsid w:val="00A732EB"/>
    <w:rsid w:val="00A74A2A"/>
    <w:rsid w:val="00A75282"/>
    <w:rsid w:val="00A7649C"/>
    <w:rsid w:val="00A76AF4"/>
    <w:rsid w:val="00A8473F"/>
    <w:rsid w:val="00A85A99"/>
    <w:rsid w:val="00A875F1"/>
    <w:rsid w:val="00A94D4B"/>
    <w:rsid w:val="00AA0E91"/>
    <w:rsid w:val="00AA111F"/>
    <w:rsid w:val="00AA35BE"/>
    <w:rsid w:val="00AA532B"/>
    <w:rsid w:val="00AA6E1A"/>
    <w:rsid w:val="00AA6F75"/>
    <w:rsid w:val="00AB1DA6"/>
    <w:rsid w:val="00AB27AB"/>
    <w:rsid w:val="00AB3389"/>
    <w:rsid w:val="00AB562D"/>
    <w:rsid w:val="00AB65AE"/>
    <w:rsid w:val="00AC1DDC"/>
    <w:rsid w:val="00AC2474"/>
    <w:rsid w:val="00AC3354"/>
    <w:rsid w:val="00AC345E"/>
    <w:rsid w:val="00AC3EBE"/>
    <w:rsid w:val="00AD1B0F"/>
    <w:rsid w:val="00AD54CD"/>
    <w:rsid w:val="00AD74AF"/>
    <w:rsid w:val="00AE0F34"/>
    <w:rsid w:val="00AE16B5"/>
    <w:rsid w:val="00AE2642"/>
    <w:rsid w:val="00AE28EE"/>
    <w:rsid w:val="00AE3CDA"/>
    <w:rsid w:val="00AF5980"/>
    <w:rsid w:val="00B00650"/>
    <w:rsid w:val="00B011AE"/>
    <w:rsid w:val="00B01C80"/>
    <w:rsid w:val="00B020F9"/>
    <w:rsid w:val="00B02291"/>
    <w:rsid w:val="00B03F22"/>
    <w:rsid w:val="00B07AFA"/>
    <w:rsid w:val="00B12D8B"/>
    <w:rsid w:val="00B144E7"/>
    <w:rsid w:val="00B171AA"/>
    <w:rsid w:val="00B17614"/>
    <w:rsid w:val="00B202ED"/>
    <w:rsid w:val="00B26562"/>
    <w:rsid w:val="00B34AE4"/>
    <w:rsid w:val="00B431B4"/>
    <w:rsid w:val="00B50FE1"/>
    <w:rsid w:val="00B55F70"/>
    <w:rsid w:val="00B6468A"/>
    <w:rsid w:val="00B71489"/>
    <w:rsid w:val="00B71814"/>
    <w:rsid w:val="00B71AF0"/>
    <w:rsid w:val="00B7391C"/>
    <w:rsid w:val="00B75FA3"/>
    <w:rsid w:val="00B76A83"/>
    <w:rsid w:val="00B8410B"/>
    <w:rsid w:val="00B86402"/>
    <w:rsid w:val="00B86A83"/>
    <w:rsid w:val="00B878DF"/>
    <w:rsid w:val="00B9212F"/>
    <w:rsid w:val="00BA1064"/>
    <w:rsid w:val="00BA3596"/>
    <w:rsid w:val="00BA7198"/>
    <w:rsid w:val="00BB01F7"/>
    <w:rsid w:val="00BB3154"/>
    <w:rsid w:val="00BB3E60"/>
    <w:rsid w:val="00BC1127"/>
    <w:rsid w:val="00BC1BE2"/>
    <w:rsid w:val="00BC1CE7"/>
    <w:rsid w:val="00BC20A6"/>
    <w:rsid w:val="00BC37CD"/>
    <w:rsid w:val="00BC3A6A"/>
    <w:rsid w:val="00BC4F33"/>
    <w:rsid w:val="00BC5C21"/>
    <w:rsid w:val="00BD02DD"/>
    <w:rsid w:val="00BD4C8C"/>
    <w:rsid w:val="00BE4A1D"/>
    <w:rsid w:val="00BF07BC"/>
    <w:rsid w:val="00BF1135"/>
    <w:rsid w:val="00BF1CA9"/>
    <w:rsid w:val="00BF5792"/>
    <w:rsid w:val="00BF5B87"/>
    <w:rsid w:val="00C01785"/>
    <w:rsid w:val="00C12012"/>
    <w:rsid w:val="00C12629"/>
    <w:rsid w:val="00C13007"/>
    <w:rsid w:val="00C149C4"/>
    <w:rsid w:val="00C15529"/>
    <w:rsid w:val="00C1624D"/>
    <w:rsid w:val="00C20832"/>
    <w:rsid w:val="00C22A24"/>
    <w:rsid w:val="00C24375"/>
    <w:rsid w:val="00C3400E"/>
    <w:rsid w:val="00C379B0"/>
    <w:rsid w:val="00C405B7"/>
    <w:rsid w:val="00C423AB"/>
    <w:rsid w:val="00C44773"/>
    <w:rsid w:val="00C47468"/>
    <w:rsid w:val="00C57649"/>
    <w:rsid w:val="00C57935"/>
    <w:rsid w:val="00C62584"/>
    <w:rsid w:val="00C62E89"/>
    <w:rsid w:val="00C66B8A"/>
    <w:rsid w:val="00C66BDF"/>
    <w:rsid w:val="00C7321F"/>
    <w:rsid w:val="00C74CC2"/>
    <w:rsid w:val="00C825BE"/>
    <w:rsid w:val="00C8298E"/>
    <w:rsid w:val="00C82C13"/>
    <w:rsid w:val="00C82C8F"/>
    <w:rsid w:val="00C83F73"/>
    <w:rsid w:val="00C87518"/>
    <w:rsid w:val="00C901D0"/>
    <w:rsid w:val="00C90B3E"/>
    <w:rsid w:val="00C93843"/>
    <w:rsid w:val="00C9486F"/>
    <w:rsid w:val="00C9594F"/>
    <w:rsid w:val="00CA1E44"/>
    <w:rsid w:val="00CA2B85"/>
    <w:rsid w:val="00CA2CA2"/>
    <w:rsid w:val="00CA4C3F"/>
    <w:rsid w:val="00CA76CA"/>
    <w:rsid w:val="00CB38D0"/>
    <w:rsid w:val="00CB546A"/>
    <w:rsid w:val="00CB7B2D"/>
    <w:rsid w:val="00CC1B76"/>
    <w:rsid w:val="00CC3027"/>
    <w:rsid w:val="00CC40B9"/>
    <w:rsid w:val="00CC4188"/>
    <w:rsid w:val="00CD1F0A"/>
    <w:rsid w:val="00CE0C7C"/>
    <w:rsid w:val="00CE5732"/>
    <w:rsid w:val="00CE62C5"/>
    <w:rsid w:val="00CF0654"/>
    <w:rsid w:val="00CF13C8"/>
    <w:rsid w:val="00CF1D17"/>
    <w:rsid w:val="00CF43B4"/>
    <w:rsid w:val="00CF5B07"/>
    <w:rsid w:val="00D00303"/>
    <w:rsid w:val="00D025CF"/>
    <w:rsid w:val="00D02803"/>
    <w:rsid w:val="00D04050"/>
    <w:rsid w:val="00D052EE"/>
    <w:rsid w:val="00D05607"/>
    <w:rsid w:val="00D05FA6"/>
    <w:rsid w:val="00D1238F"/>
    <w:rsid w:val="00D12519"/>
    <w:rsid w:val="00D1443A"/>
    <w:rsid w:val="00D14BE9"/>
    <w:rsid w:val="00D16D44"/>
    <w:rsid w:val="00D20DA6"/>
    <w:rsid w:val="00D221D4"/>
    <w:rsid w:val="00D23439"/>
    <w:rsid w:val="00D24015"/>
    <w:rsid w:val="00D25925"/>
    <w:rsid w:val="00D25EA3"/>
    <w:rsid w:val="00D30996"/>
    <w:rsid w:val="00D347D8"/>
    <w:rsid w:val="00D358D1"/>
    <w:rsid w:val="00D37905"/>
    <w:rsid w:val="00D44F7A"/>
    <w:rsid w:val="00D50E83"/>
    <w:rsid w:val="00D519C6"/>
    <w:rsid w:val="00D52A3F"/>
    <w:rsid w:val="00D52BD9"/>
    <w:rsid w:val="00D52C31"/>
    <w:rsid w:val="00D53FCC"/>
    <w:rsid w:val="00D56580"/>
    <w:rsid w:val="00D56C68"/>
    <w:rsid w:val="00D603E8"/>
    <w:rsid w:val="00D618FE"/>
    <w:rsid w:val="00D64827"/>
    <w:rsid w:val="00D6574E"/>
    <w:rsid w:val="00D735DB"/>
    <w:rsid w:val="00D736E9"/>
    <w:rsid w:val="00D809FC"/>
    <w:rsid w:val="00D81A38"/>
    <w:rsid w:val="00D82BEE"/>
    <w:rsid w:val="00D83490"/>
    <w:rsid w:val="00D83750"/>
    <w:rsid w:val="00D859CC"/>
    <w:rsid w:val="00D9658E"/>
    <w:rsid w:val="00D9774E"/>
    <w:rsid w:val="00DA4E9F"/>
    <w:rsid w:val="00DA52BE"/>
    <w:rsid w:val="00DA6E81"/>
    <w:rsid w:val="00DA740E"/>
    <w:rsid w:val="00DA7C89"/>
    <w:rsid w:val="00DB0326"/>
    <w:rsid w:val="00DB1D0B"/>
    <w:rsid w:val="00DB6502"/>
    <w:rsid w:val="00DC02CF"/>
    <w:rsid w:val="00DC0718"/>
    <w:rsid w:val="00DC12FB"/>
    <w:rsid w:val="00DC1C68"/>
    <w:rsid w:val="00DC4DDA"/>
    <w:rsid w:val="00DC5A69"/>
    <w:rsid w:val="00DC77F9"/>
    <w:rsid w:val="00DC7F34"/>
    <w:rsid w:val="00DD1709"/>
    <w:rsid w:val="00DD709C"/>
    <w:rsid w:val="00DE72D4"/>
    <w:rsid w:val="00DE744A"/>
    <w:rsid w:val="00DE752F"/>
    <w:rsid w:val="00DF19C6"/>
    <w:rsid w:val="00DF6D9D"/>
    <w:rsid w:val="00E00255"/>
    <w:rsid w:val="00E00499"/>
    <w:rsid w:val="00E010A9"/>
    <w:rsid w:val="00E070CD"/>
    <w:rsid w:val="00E14A4D"/>
    <w:rsid w:val="00E15F18"/>
    <w:rsid w:val="00E1748D"/>
    <w:rsid w:val="00E20269"/>
    <w:rsid w:val="00E22538"/>
    <w:rsid w:val="00E23439"/>
    <w:rsid w:val="00E274B2"/>
    <w:rsid w:val="00E32062"/>
    <w:rsid w:val="00E32410"/>
    <w:rsid w:val="00E37E8C"/>
    <w:rsid w:val="00E43665"/>
    <w:rsid w:val="00E45B17"/>
    <w:rsid w:val="00E50C2D"/>
    <w:rsid w:val="00E5213F"/>
    <w:rsid w:val="00E52B0B"/>
    <w:rsid w:val="00E558A1"/>
    <w:rsid w:val="00E56778"/>
    <w:rsid w:val="00E6220A"/>
    <w:rsid w:val="00E62633"/>
    <w:rsid w:val="00E633DC"/>
    <w:rsid w:val="00E64F40"/>
    <w:rsid w:val="00E6672A"/>
    <w:rsid w:val="00E67693"/>
    <w:rsid w:val="00E67C2A"/>
    <w:rsid w:val="00E7002D"/>
    <w:rsid w:val="00E7432B"/>
    <w:rsid w:val="00E77911"/>
    <w:rsid w:val="00E80790"/>
    <w:rsid w:val="00E829B8"/>
    <w:rsid w:val="00E83E4A"/>
    <w:rsid w:val="00E863F9"/>
    <w:rsid w:val="00E8795F"/>
    <w:rsid w:val="00E95C9D"/>
    <w:rsid w:val="00EA0E4F"/>
    <w:rsid w:val="00EA1D86"/>
    <w:rsid w:val="00EA2643"/>
    <w:rsid w:val="00EA34DC"/>
    <w:rsid w:val="00EA45D1"/>
    <w:rsid w:val="00EA6AD8"/>
    <w:rsid w:val="00EB2330"/>
    <w:rsid w:val="00EB2A9B"/>
    <w:rsid w:val="00EB2B63"/>
    <w:rsid w:val="00EB2D52"/>
    <w:rsid w:val="00EB2EE7"/>
    <w:rsid w:val="00EB3150"/>
    <w:rsid w:val="00EB3310"/>
    <w:rsid w:val="00EB3B4E"/>
    <w:rsid w:val="00EB480A"/>
    <w:rsid w:val="00EC027E"/>
    <w:rsid w:val="00EC3779"/>
    <w:rsid w:val="00EC40F8"/>
    <w:rsid w:val="00EC4D23"/>
    <w:rsid w:val="00ED653F"/>
    <w:rsid w:val="00EE2AA0"/>
    <w:rsid w:val="00EE69FC"/>
    <w:rsid w:val="00EF2837"/>
    <w:rsid w:val="00EF5C8D"/>
    <w:rsid w:val="00EF6C8E"/>
    <w:rsid w:val="00F0038C"/>
    <w:rsid w:val="00F011F1"/>
    <w:rsid w:val="00F041E2"/>
    <w:rsid w:val="00F0631D"/>
    <w:rsid w:val="00F11009"/>
    <w:rsid w:val="00F1723C"/>
    <w:rsid w:val="00F20F76"/>
    <w:rsid w:val="00F210E3"/>
    <w:rsid w:val="00F25A17"/>
    <w:rsid w:val="00F263A9"/>
    <w:rsid w:val="00F26619"/>
    <w:rsid w:val="00F2755C"/>
    <w:rsid w:val="00F30A30"/>
    <w:rsid w:val="00F3670F"/>
    <w:rsid w:val="00F37D49"/>
    <w:rsid w:val="00F40D68"/>
    <w:rsid w:val="00F43117"/>
    <w:rsid w:val="00F43420"/>
    <w:rsid w:val="00F44D9A"/>
    <w:rsid w:val="00F509B4"/>
    <w:rsid w:val="00F67109"/>
    <w:rsid w:val="00F7218E"/>
    <w:rsid w:val="00F727D1"/>
    <w:rsid w:val="00F742BF"/>
    <w:rsid w:val="00F80D2C"/>
    <w:rsid w:val="00F82248"/>
    <w:rsid w:val="00F82D02"/>
    <w:rsid w:val="00F83528"/>
    <w:rsid w:val="00F84E66"/>
    <w:rsid w:val="00F86934"/>
    <w:rsid w:val="00F9085C"/>
    <w:rsid w:val="00F90D10"/>
    <w:rsid w:val="00F912C1"/>
    <w:rsid w:val="00F913B3"/>
    <w:rsid w:val="00F95304"/>
    <w:rsid w:val="00F96806"/>
    <w:rsid w:val="00F96B9A"/>
    <w:rsid w:val="00FA73BB"/>
    <w:rsid w:val="00FA7BCF"/>
    <w:rsid w:val="00FB02FF"/>
    <w:rsid w:val="00FB33BE"/>
    <w:rsid w:val="00FB4596"/>
    <w:rsid w:val="00FB51F2"/>
    <w:rsid w:val="00FB5793"/>
    <w:rsid w:val="00FB64B7"/>
    <w:rsid w:val="00FC560A"/>
    <w:rsid w:val="00FC61A2"/>
    <w:rsid w:val="00FD23D5"/>
    <w:rsid w:val="00FD4385"/>
    <w:rsid w:val="00FE2FC2"/>
    <w:rsid w:val="00FE4A2A"/>
    <w:rsid w:val="00FE4D37"/>
    <w:rsid w:val="00FF4AB5"/>
    <w:rsid w:val="00FF532F"/>
    <w:rsid w:val="00FF53D3"/>
    <w:rsid w:val="00FF6184"/>
    <w:rsid w:val="00FF7901"/>
    <w:rsid w:val="28C807BF"/>
    <w:rsid w:val="715258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8">
    <w:name w:val="Default Paragraph Font"/>
    <w:semiHidden/>
    <w:unhideWhenUsed/>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semiHidden/>
    <w:qFormat/>
    <w:uiPriority w:val="0"/>
    <w:rPr>
      <w:b/>
      <w:bCs/>
    </w:rPr>
  </w:style>
  <w:style w:type="paragraph" w:styleId="12">
    <w:name w:val="annotation text"/>
    <w:basedOn w:val="1"/>
    <w:link w:val="128"/>
    <w:semiHidden/>
    <w:qFormat/>
    <w:uiPriority w:val="0"/>
    <w:pPr>
      <w:jc w:val="left"/>
    </w:pPr>
  </w:style>
  <w:style w:type="paragraph" w:styleId="13">
    <w:name w:val="toc 7"/>
    <w:basedOn w:val="14"/>
    <w:next w:val="1"/>
    <w:semiHidden/>
    <w:uiPriority w:val="0"/>
  </w:style>
  <w:style w:type="paragraph" w:styleId="14">
    <w:name w:val="toc 6"/>
    <w:basedOn w:val="15"/>
    <w:next w:val="1"/>
    <w:semiHidden/>
    <w:uiPriority w:val="0"/>
  </w:style>
  <w:style w:type="paragraph" w:styleId="15">
    <w:name w:val="toc 5"/>
    <w:basedOn w:val="16"/>
    <w:next w:val="1"/>
    <w:semiHidden/>
    <w:qFormat/>
    <w:uiPriority w:val="0"/>
  </w:style>
  <w:style w:type="paragraph" w:styleId="16">
    <w:name w:val="toc 4"/>
    <w:basedOn w:val="17"/>
    <w:next w:val="1"/>
    <w:semiHidden/>
    <w:qFormat/>
    <w:uiPriority w:val="0"/>
  </w:style>
  <w:style w:type="paragraph" w:styleId="17">
    <w:name w:val="toc 3"/>
    <w:basedOn w:val="18"/>
    <w:next w:val="1"/>
    <w:semiHidden/>
    <w:qFormat/>
    <w:uiPriority w:val="0"/>
  </w:style>
  <w:style w:type="paragraph" w:styleId="18">
    <w:name w:val="toc 2"/>
    <w:basedOn w:val="19"/>
    <w:next w:val="1"/>
    <w:semiHidden/>
    <w:qFormat/>
    <w:uiPriority w:val="0"/>
  </w:style>
  <w:style w:type="paragraph" w:styleId="19">
    <w:name w:val="toc 1"/>
    <w:next w:val="1"/>
    <w:semiHidden/>
    <w:qFormat/>
    <w:uiPriority w:val="0"/>
    <w:pPr>
      <w:jc w:val="both"/>
    </w:pPr>
    <w:rPr>
      <w:rFonts w:ascii="宋体" w:hAnsi="Times New Roman" w:eastAsia="宋体" w:cs="Times New Roman"/>
      <w:sz w:val="21"/>
      <w:lang w:val="en-US" w:eastAsia="zh-CN" w:bidi="ar-SA"/>
    </w:rPr>
  </w:style>
  <w:style w:type="paragraph" w:styleId="20">
    <w:name w:val="Normal Indent"/>
    <w:basedOn w:val="1"/>
    <w:qFormat/>
    <w:uiPriority w:val="0"/>
    <w:pPr>
      <w:ind w:firstLine="420"/>
    </w:pPr>
  </w:style>
  <w:style w:type="paragraph" w:styleId="21">
    <w:name w:val="Document Map"/>
    <w:basedOn w:val="1"/>
    <w:semiHidden/>
    <w:qFormat/>
    <w:uiPriority w:val="0"/>
    <w:pPr>
      <w:shd w:val="clear" w:color="auto" w:fill="000080"/>
    </w:pPr>
  </w:style>
  <w:style w:type="paragraph" w:styleId="22">
    <w:name w:val="toa heading"/>
    <w:basedOn w:val="1"/>
    <w:next w:val="1"/>
    <w:semiHidden/>
    <w:qFormat/>
    <w:uiPriority w:val="0"/>
    <w:pPr>
      <w:widowControl/>
      <w:tabs>
        <w:tab w:val="left" w:pos="720"/>
      </w:tabs>
    </w:pPr>
    <w:rPr>
      <w:b/>
      <w:kern w:val="0"/>
      <w:sz w:val="22"/>
    </w:rPr>
  </w:style>
  <w:style w:type="paragraph" w:styleId="23">
    <w:name w:val="Body Text"/>
    <w:basedOn w:val="1"/>
    <w:qFormat/>
    <w:uiPriority w:val="0"/>
    <w:pPr>
      <w:spacing w:after="120"/>
    </w:pPr>
  </w:style>
  <w:style w:type="paragraph" w:styleId="24">
    <w:name w:val="Body Text Indent"/>
    <w:basedOn w:val="1"/>
    <w:uiPriority w:val="0"/>
    <w:pPr>
      <w:ind w:left="420" w:hanging="420" w:hangingChars="200"/>
    </w:pPr>
  </w:style>
  <w:style w:type="paragraph" w:styleId="25">
    <w:name w:val="HTML Address"/>
    <w:basedOn w:val="1"/>
    <w:qFormat/>
    <w:uiPriority w:val="0"/>
    <w:rPr>
      <w:i/>
      <w:iCs/>
    </w:rPr>
  </w:style>
  <w:style w:type="paragraph" w:styleId="26">
    <w:name w:val="Plain Text"/>
    <w:basedOn w:val="1"/>
    <w:qFormat/>
    <w:uiPriority w:val="0"/>
    <w:rPr>
      <w:rFonts w:ascii="宋体" w:hAnsi="Courier New"/>
      <w:szCs w:val="21"/>
    </w:rPr>
  </w:style>
  <w:style w:type="paragraph" w:styleId="27">
    <w:name w:val="toc 8"/>
    <w:basedOn w:val="13"/>
    <w:next w:val="1"/>
    <w:semiHidden/>
    <w:qFormat/>
    <w:uiPriority w:val="0"/>
  </w:style>
  <w:style w:type="paragraph" w:styleId="28">
    <w:name w:val="Date"/>
    <w:basedOn w:val="1"/>
    <w:next w:val="1"/>
    <w:qFormat/>
    <w:uiPriority w:val="0"/>
    <w:rPr>
      <w:rFonts w:ascii="黑体" w:eastAsia="黑体"/>
      <w:b/>
    </w:rPr>
  </w:style>
  <w:style w:type="paragraph" w:styleId="29">
    <w:name w:val="Balloon Text"/>
    <w:basedOn w:val="1"/>
    <w:semiHidden/>
    <w:qFormat/>
    <w:uiPriority w:val="0"/>
    <w:rPr>
      <w:sz w:val="18"/>
      <w:szCs w:val="18"/>
    </w:rPr>
  </w:style>
  <w:style w:type="paragraph" w:styleId="30">
    <w:name w:val="footer"/>
    <w:basedOn w:val="1"/>
    <w:link w:val="64"/>
    <w:qFormat/>
    <w:uiPriority w:val="99"/>
    <w:pPr>
      <w:tabs>
        <w:tab w:val="center" w:pos="4153"/>
        <w:tab w:val="right" w:pos="8306"/>
      </w:tabs>
      <w:snapToGrid w:val="0"/>
      <w:ind w:right="210" w:rightChars="100"/>
      <w:jc w:val="right"/>
    </w:pPr>
    <w:rPr>
      <w:sz w:val="18"/>
      <w:szCs w:val="18"/>
    </w:rPr>
  </w:style>
  <w:style w:type="paragraph" w:styleId="31">
    <w:name w:val="header"/>
    <w:basedOn w:val="1"/>
    <w:link w:val="63"/>
    <w:qFormat/>
    <w:uiPriority w:val="0"/>
    <w:pPr>
      <w:pBdr>
        <w:bottom w:val="single" w:color="auto" w:sz="6" w:space="1"/>
      </w:pBdr>
      <w:tabs>
        <w:tab w:val="center" w:pos="4153"/>
        <w:tab w:val="right" w:pos="8306"/>
      </w:tabs>
      <w:snapToGrid w:val="0"/>
      <w:jc w:val="center"/>
    </w:pPr>
    <w:rPr>
      <w:sz w:val="18"/>
      <w:szCs w:val="18"/>
    </w:rPr>
  </w:style>
  <w:style w:type="paragraph" w:styleId="32">
    <w:name w:val="footnote text"/>
    <w:basedOn w:val="1"/>
    <w:semiHidden/>
    <w:qFormat/>
    <w:uiPriority w:val="0"/>
    <w:pPr>
      <w:snapToGrid w:val="0"/>
      <w:jc w:val="left"/>
    </w:pPr>
    <w:rPr>
      <w:sz w:val="18"/>
      <w:szCs w:val="18"/>
    </w:rPr>
  </w:style>
  <w:style w:type="paragraph" w:styleId="33">
    <w:name w:val="Body Text Indent 3"/>
    <w:basedOn w:val="1"/>
    <w:qFormat/>
    <w:uiPriority w:val="0"/>
    <w:pPr>
      <w:spacing w:after="120"/>
      <w:ind w:left="420" w:leftChars="200"/>
    </w:pPr>
    <w:rPr>
      <w:sz w:val="16"/>
      <w:szCs w:val="16"/>
    </w:rPr>
  </w:style>
  <w:style w:type="paragraph" w:styleId="34">
    <w:name w:val="toc 9"/>
    <w:basedOn w:val="27"/>
    <w:next w:val="1"/>
    <w:semiHidden/>
    <w:qFormat/>
    <w:uiPriority w:val="0"/>
  </w:style>
  <w:style w:type="paragraph" w:styleId="35">
    <w:name w:val="HTML Preformatted"/>
    <w:basedOn w:val="1"/>
    <w:qFormat/>
    <w:uiPriority w:val="0"/>
    <w:rPr>
      <w:rFonts w:ascii="Courier New" w:hAnsi="Courier New" w:cs="Courier New"/>
      <w:sz w:val="20"/>
    </w:rPr>
  </w:style>
  <w:style w:type="paragraph" w:styleId="3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7">
    <w:name w:val="Title"/>
    <w:basedOn w:val="1"/>
    <w:link w:val="62"/>
    <w:qFormat/>
    <w:uiPriority w:val="0"/>
    <w:pPr>
      <w:spacing w:before="240" w:after="60"/>
      <w:jc w:val="center"/>
      <w:outlineLvl w:val="0"/>
    </w:pPr>
    <w:rPr>
      <w:rFonts w:ascii="Arial" w:hAnsi="Arial" w:cs="Arial"/>
      <w:b/>
      <w:bCs/>
      <w:sz w:val="32"/>
      <w:szCs w:val="32"/>
    </w:rPr>
  </w:style>
  <w:style w:type="character" w:styleId="39">
    <w:name w:val="page number"/>
    <w:qFormat/>
    <w:uiPriority w:val="0"/>
    <w:rPr>
      <w:rFonts w:ascii="Times New Roman" w:hAnsi="Times New Roman" w:eastAsia="宋体"/>
      <w:sz w:val="18"/>
    </w:rPr>
  </w:style>
  <w:style w:type="character" w:styleId="40">
    <w:name w:val="FollowedHyperlink"/>
    <w:qFormat/>
    <w:uiPriority w:val="0"/>
    <w:rPr>
      <w:color w:val="800080"/>
      <w:u w:val="single"/>
    </w:rPr>
  </w:style>
  <w:style w:type="character" w:styleId="41">
    <w:name w:val="HTML Definition"/>
    <w:qFormat/>
    <w:uiPriority w:val="0"/>
    <w:rPr>
      <w:i/>
      <w:iCs/>
    </w:rPr>
  </w:style>
  <w:style w:type="character" w:styleId="42">
    <w:name w:val="HTML Typewriter"/>
    <w:qFormat/>
    <w:uiPriority w:val="0"/>
    <w:rPr>
      <w:rFonts w:ascii="Courier New" w:hAnsi="Courier New"/>
      <w:sz w:val="20"/>
      <w:szCs w:val="20"/>
    </w:rPr>
  </w:style>
  <w:style w:type="character" w:styleId="43">
    <w:name w:val="HTML Acronym"/>
    <w:basedOn w:val="38"/>
    <w:qFormat/>
    <w:uiPriority w:val="0"/>
  </w:style>
  <w:style w:type="character" w:styleId="44">
    <w:name w:val="HTML Variable"/>
    <w:qFormat/>
    <w:uiPriority w:val="0"/>
    <w:rPr>
      <w:i/>
      <w:iCs/>
    </w:rPr>
  </w:style>
  <w:style w:type="character" w:styleId="45">
    <w:name w:val="Hyperlink"/>
    <w:qFormat/>
    <w:uiPriority w:val="0"/>
    <w:rPr>
      <w:rFonts w:ascii="Times New Roman" w:hAnsi="Times New Roman" w:eastAsia="宋体"/>
      <w:color w:val="auto"/>
      <w:spacing w:val="0"/>
      <w:w w:val="100"/>
      <w:position w:val="0"/>
      <w:sz w:val="21"/>
      <w:u w:val="none"/>
      <w:vertAlign w:val="baseline"/>
    </w:rPr>
  </w:style>
  <w:style w:type="character" w:styleId="46">
    <w:name w:val="HTML Code"/>
    <w:qFormat/>
    <w:uiPriority w:val="0"/>
    <w:rPr>
      <w:rFonts w:ascii="Courier New" w:hAnsi="Courier New"/>
      <w:sz w:val="20"/>
      <w:szCs w:val="20"/>
    </w:rPr>
  </w:style>
  <w:style w:type="character" w:styleId="47">
    <w:name w:val="annotation reference"/>
    <w:semiHidden/>
    <w:qFormat/>
    <w:uiPriority w:val="0"/>
    <w:rPr>
      <w:sz w:val="21"/>
      <w:szCs w:val="21"/>
    </w:rPr>
  </w:style>
  <w:style w:type="character" w:styleId="48">
    <w:name w:val="HTML Cite"/>
    <w:qFormat/>
    <w:uiPriority w:val="0"/>
    <w:rPr>
      <w:i/>
      <w:iCs/>
    </w:rPr>
  </w:style>
  <w:style w:type="character" w:styleId="49">
    <w:name w:val="footnote reference"/>
    <w:semiHidden/>
    <w:qFormat/>
    <w:uiPriority w:val="0"/>
    <w:rPr>
      <w:vertAlign w:val="superscript"/>
    </w:rPr>
  </w:style>
  <w:style w:type="character" w:styleId="50">
    <w:name w:val="HTML Keyboard"/>
    <w:qFormat/>
    <w:uiPriority w:val="0"/>
    <w:rPr>
      <w:rFonts w:ascii="Courier New" w:hAnsi="Courier New"/>
      <w:sz w:val="20"/>
      <w:szCs w:val="20"/>
    </w:rPr>
  </w:style>
  <w:style w:type="character" w:styleId="51">
    <w:name w:val="HTML Sample"/>
    <w:qFormat/>
    <w:uiPriority w:val="0"/>
    <w:rPr>
      <w:rFonts w:ascii="Courier New" w:hAnsi="Courier New"/>
    </w:rPr>
  </w:style>
  <w:style w:type="table" w:styleId="53">
    <w:name w:val="Table Grid"/>
    <w:basedOn w:val="52"/>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54">
    <w:name w:val="发布"/>
    <w:qFormat/>
    <w:uiPriority w:val="0"/>
    <w:rPr>
      <w:rFonts w:ascii="黑体" w:eastAsia="黑体"/>
      <w:spacing w:val="22"/>
      <w:w w:val="100"/>
      <w:position w:val="3"/>
      <w:sz w:val="28"/>
    </w:rPr>
  </w:style>
  <w:style w:type="character" w:customStyle="1" w:styleId="55">
    <w:name w:val="个人答复风格"/>
    <w:qFormat/>
    <w:uiPriority w:val="0"/>
    <w:rPr>
      <w:rFonts w:ascii="Arial" w:hAnsi="Arial" w:eastAsia="宋体" w:cs="Arial"/>
      <w:color w:val="auto"/>
      <w:sz w:val="20"/>
    </w:rPr>
  </w:style>
  <w:style w:type="character" w:customStyle="1" w:styleId="56">
    <w:name w:val="个人撰写风格"/>
    <w:qFormat/>
    <w:uiPriority w:val="0"/>
    <w:rPr>
      <w:rFonts w:ascii="Arial" w:hAnsi="Arial" w:eastAsia="宋体" w:cs="Arial"/>
      <w:color w:val="auto"/>
      <w:sz w:val="20"/>
    </w:rPr>
  </w:style>
  <w:style w:type="character" w:customStyle="1" w:styleId="57">
    <w:name w:val="mtitle1"/>
    <w:qFormat/>
    <w:uiPriority w:val="0"/>
    <w:rPr>
      <w:rFonts w:hint="default" w:ascii="ˎ̥" w:hAnsi="ˎ̥"/>
      <w:color w:val="000000"/>
      <w:sz w:val="21"/>
      <w:szCs w:val="21"/>
    </w:rPr>
  </w:style>
  <w:style w:type="character" w:customStyle="1" w:styleId="58">
    <w:name w:val="段 Char"/>
    <w:link w:val="59"/>
    <w:qFormat/>
    <w:uiPriority w:val="0"/>
    <w:rPr>
      <w:rFonts w:ascii="宋体"/>
      <w:sz w:val="21"/>
      <w:lang w:val="en-US" w:eastAsia="zh-CN" w:bidi="ar-SA"/>
    </w:rPr>
  </w:style>
  <w:style w:type="paragraph" w:customStyle="1" w:styleId="59">
    <w:name w:val="段"/>
    <w:link w:val="58"/>
    <w:qFormat/>
    <w:uiPriority w:val="0"/>
    <w:pPr>
      <w:ind w:firstLine="200" w:firstLineChars="200"/>
      <w:jc w:val="both"/>
    </w:pPr>
    <w:rPr>
      <w:rFonts w:ascii="宋体" w:hAnsi="Times New Roman" w:eastAsia="宋体" w:cs="Times New Roman"/>
      <w:sz w:val="21"/>
      <w:lang w:val="en-US" w:eastAsia="zh-CN" w:bidi="ar-SA"/>
    </w:rPr>
  </w:style>
  <w:style w:type="character" w:customStyle="1" w:styleId="60">
    <w:name w:val="goog_qs-tidbit-1"/>
    <w:basedOn w:val="38"/>
    <w:qFormat/>
    <w:uiPriority w:val="0"/>
  </w:style>
  <w:style w:type="character" w:customStyle="1" w:styleId="61">
    <w:name w:val="goog_qs-tidbit goog_qs-tidbit-1"/>
    <w:basedOn w:val="38"/>
    <w:qFormat/>
    <w:uiPriority w:val="0"/>
  </w:style>
  <w:style w:type="character" w:customStyle="1" w:styleId="62">
    <w:name w:val="标题 Char"/>
    <w:link w:val="37"/>
    <w:qFormat/>
    <w:locked/>
    <w:uiPriority w:val="0"/>
    <w:rPr>
      <w:rFonts w:ascii="Arial" w:hAnsi="Arial" w:eastAsia="宋体" w:cs="Arial"/>
      <w:b/>
      <w:bCs/>
      <w:kern w:val="2"/>
      <w:sz w:val="32"/>
      <w:szCs w:val="32"/>
      <w:lang w:val="en-US" w:eastAsia="zh-CN" w:bidi="ar-SA"/>
    </w:rPr>
  </w:style>
  <w:style w:type="character" w:customStyle="1" w:styleId="63">
    <w:name w:val="页眉 Char"/>
    <w:link w:val="31"/>
    <w:qFormat/>
    <w:locked/>
    <w:uiPriority w:val="0"/>
    <w:rPr>
      <w:rFonts w:eastAsia="宋体"/>
      <w:kern w:val="2"/>
      <w:sz w:val="18"/>
      <w:szCs w:val="18"/>
      <w:lang w:val="en-US" w:eastAsia="zh-CN" w:bidi="ar-SA"/>
    </w:rPr>
  </w:style>
  <w:style w:type="character" w:customStyle="1" w:styleId="64">
    <w:name w:val="页脚 Char"/>
    <w:link w:val="30"/>
    <w:qFormat/>
    <w:uiPriority w:val="99"/>
    <w:rPr>
      <w:kern w:val="2"/>
      <w:sz w:val="18"/>
      <w:szCs w:val="18"/>
    </w:rPr>
  </w:style>
  <w:style w:type="paragraph" w:customStyle="1" w:styleId="65">
    <w:name w:val="示例"/>
    <w:next w:val="59"/>
    <w:qFormat/>
    <w:uiPriority w:val="0"/>
    <w:pPr>
      <w:numPr>
        <w:ilvl w:val="0"/>
        <w:numId w:val="1"/>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66">
    <w:name w:val="二级无标题条"/>
    <w:basedOn w:val="1"/>
    <w:qFormat/>
    <w:uiPriority w:val="0"/>
    <w:pPr>
      <w:numPr>
        <w:ilvl w:val="3"/>
        <w:numId w:val="2"/>
      </w:numPr>
    </w:pPr>
  </w:style>
  <w:style w:type="paragraph" w:customStyle="1" w:styleId="67">
    <w:name w:val="其他发布部门"/>
    <w:basedOn w:val="68"/>
    <w:qFormat/>
    <w:uiPriority w:val="0"/>
    <w:pPr>
      <w:spacing w:line="0" w:lineRule="atLeast"/>
    </w:pPr>
    <w:rPr>
      <w:rFonts w:ascii="黑体" w:eastAsia="黑体"/>
      <w:b w:val="0"/>
    </w:rPr>
  </w:style>
  <w:style w:type="paragraph" w:customStyle="1" w:styleId="68">
    <w:name w:val="发布部门"/>
    <w:next w:val="59"/>
    <w:qFormat/>
    <w:uiPriority w:val="0"/>
    <w:pPr>
      <w:jc w:val="center"/>
    </w:pPr>
    <w:rPr>
      <w:rFonts w:ascii="宋体" w:hAnsi="Times New Roman" w:eastAsia="宋体" w:cs="Times New Roman"/>
      <w:b/>
      <w:spacing w:val="20"/>
      <w:w w:val="135"/>
      <w:sz w:val="36"/>
      <w:lang w:val="en-US" w:eastAsia="zh-CN" w:bidi="ar-SA"/>
    </w:rPr>
  </w:style>
  <w:style w:type="paragraph" w:customStyle="1" w:styleId="69">
    <w:name w:val="标准书眉_偶数页"/>
    <w:basedOn w:val="70"/>
    <w:next w:val="1"/>
    <w:qFormat/>
    <w:uiPriority w:val="0"/>
    <w:pPr>
      <w:tabs>
        <w:tab w:val="center" w:pos="4154"/>
        <w:tab w:val="right" w:pos="8306"/>
      </w:tabs>
      <w:jc w:val="left"/>
    </w:pPr>
  </w:style>
  <w:style w:type="paragraph" w:customStyle="1" w:styleId="7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1">
    <w:name w:val="附录四级条标题"/>
    <w:basedOn w:val="72"/>
    <w:next w:val="59"/>
    <w:qFormat/>
    <w:uiPriority w:val="0"/>
    <w:pPr>
      <w:numPr>
        <w:ilvl w:val="5"/>
      </w:numPr>
      <w:outlineLvl w:val="5"/>
    </w:pPr>
  </w:style>
  <w:style w:type="paragraph" w:customStyle="1" w:styleId="72">
    <w:name w:val="附录三级条标题"/>
    <w:basedOn w:val="73"/>
    <w:next w:val="59"/>
    <w:qFormat/>
    <w:uiPriority w:val="0"/>
    <w:pPr>
      <w:numPr>
        <w:ilvl w:val="4"/>
      </w:numPr>
      <w:outlineLvl w:val="4"/>
    </w:pPr>
  </w:style>
  <w:style w:type="paragraph" w:customStyle="1" w:styleId="73">
    <w:name w:val="附录二级条标题"/>
    <w:basedOn w:val="74"/>
    <w:next w:val="59"/>
    <w:qFormat/>
    <w:uiPriority w:val="0"/>
    <w:pPr>
      <w:numPr>
        <w:ilvl w:val="3"/>
      </w:numPr>
      <w:outlineLvl w:val="3"/>
    </w:pPr>
  </w:style>
  <w:style w:type="paragraph" w:customStyle="1" w:styleId="74">
    <w:name w:val="附录一级条标题"/>
    <w:basedOn w:val="75"/>
    <w:next w:val="59"/>
    <w:qFormat/>
    <w:uiPriority w:val="0"/>
    <w:pPr>
      <w:numPr>
        <w:ilvl w:val="2"/>
      </w:numPr>
      <w:autoSpaceDN w:val="0"/>
      <w:spacing w:beforeLines="0" w:afterLines="0"/>
      <w:outlineLvl w:val="2"/>
    </w:pPr>
  </w:style>
  <w:style w:type="paragraph" w:customStyle="1" w:styleId="75">
    <w:name w:val="附录章标题"/>
    <w:next w:val="59"/>
    <w:uiPriority w:val="0"/>
    <w:pPr>
      <w:numPr>
        <w:ilvl w:val="1"/>
        <w:numId w:val="3"/>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6">
    <w:name w:val="一级条标题"/>
    <w:basedOn w:val="77"/>
    <w:next w:val="59"/>
    <w:qFormat/>
    <w:uiPriority w:val="0"/>
    <w:pPr>
      <w:spacing w:beforeLines="0" w:afterLines="0"/>
      <w:outlineLvl w:val="2"/>
    </w:pPr>
  </w:style>
  <w:style w:type="paragraph" w:customStyle="1" w:styleId="77">
    <w:name w:val="章标题"/>
    <w:next w:val="59"/>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78">
    <w:name w:val="前言、引言标题"/>
    <w:next w:val="1"/>
    <w:qFormat/>
    <w:uiPriority w:val="0"/>
    <w:pPr>
      <w:numPr>
        <w:ilvl w:val="0"/>
        <w:numId w:val="4"/>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0">
    <w:name w:val="三级条标题"/>
    <w:basedOn w:val="81"/>
    <w:next w:val="59"/>
    <w:qFormat/>
    <w:uiPriority w:val="0"/>
    <w:pPr>
      <w:numPr>
        <w:ilvl w:val="4"/>
        <w:numId w:val="4"/>
      </w:numPr>
      <w:outlineLvl w:val="4"/>
    </w:pPr>
  </w:style>
  <w:style w:type="paragraph" w:customStyle="1" w:styleId="81">
    <w:name w:val="二级条标题"/>
    <w:basedOn w:val="76"/>
    <w:next w:val="59"/>
    <w:qFormat/>
    <w:uiPriority w:val="0"/>
    <w:pPr>
      <w:outlineLvl w:val="3"/>
    </w:pPr>
  </w:style>
  <w:style w:type="paragraph" w:customStyle="1" w:styleId="82">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3">
    <w:name w:val="附录五级条标题"/>
    <w:basedOn w:val="71"/>
    <w:next w:val="59"/>
    <w:uiPriority w:val="0"/>
    <w:pPr>
      <w:numPr>
        <w:ilvl w:val="6"/>
      </w:numPr>
      <w:outlineLvl w:val="6"/>
    </w:pPr>
  </w:style>
  <w:style w:type="paragraph" w:customStyle="1" w:styleId="84">
    <w:name w:val="标准书眉一"/>
    <w:qFormat/>
    <w:uiPriority w:val="0"/>
    <w:pPr>
      <w:jc w:val="both"/>
    </w:pPr>
    <w:rPr>
      <w:rFonts w:ascii="Times New Roman" w:hAnsi="Times New Roman" w:eastAsia="宋体" w:cs="Times New Roman"/>
      <w:lang w:val="en-US" w:eastAsia="zh-CN" w:bidi="ar-SA"/>
    </w:rPr>
  </w:style>
  <w:style w:type="paragraph" w:customStyle="1" w:styleId="8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
    <w:name w:val="标准书脚_奇数页"/>
    <w:uiPriority w:val="0"/>
    <w:pPr>
      <w:spacing w:before="120"/>
      <w:jc w:val="right"/>
    </w:pPr>
    <w:rPr>
      <w:rFonts w:ascii="Times New Roman" w:hAnsi="Times New Roman" w:eastAsia="宋体" w:cs="Times New Roman"/>
      <w:sz w:val="18"/>
      <w:lang w:val="en-US" w:eastAsia="zh-CN" w:bidi="ar-SA"/>
    </w:rPr>
  </w:style>
  <w:style w:type="paragraph" w:customStyle="1" w:styleId="8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88">
    <w:name w:val="参考文献、索引标题"/>
    <w:basedOn w:val="78"/>
    <w:next w:val="1"/>
    <w:qFormat/>
    <w:uiPriority w:val="0"/>
    <w:pPr>
      <w:numPr>
        <w:numId w:val="0"/>
      </w:numPr>
      <w:spacing w:after="200"/>
    </w:pPr>
    <w:rPr>
      <w:sz w:val="21"/>
    </w:rPr>
  </w:style>
  <w:style w:type="paragraph" w:customStyle="1" w:styleId="89">
    <w:name w:val="发布日期"/>
    <w:uiPriority w:val="0"/>
    <w:rPr>
      <w:rFonts w:ascii="Times New Roman" w:hAnsi="Times New Roman" w:eastAsia="黑体" w:cs="Times New Roman"/>
      <w:sz w:val="28"/>
      <w:lang w:val="en-US" w:eastAsia="zh-CN" w:bidi="ar-SA"/>
    </w:rPr>
  </w:style>
  <w:style w:type="paragraph" w:customStyle="1" w:styleId="90">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1">
    <w:name w:val="实施日期"/>
    <w:basedOn w:val="89"/>
    <w:uiPriority w:val="0"/>
    <w:pPr>
      <w:jc w:val="right"/>
    </w:pPr>
  </w:style>
  <w:style w:type="paragraph" w:customStyle="1" w:styleId="92">
    <w:name w:val="封面标准号2"/>
    <w:basedOn w:val="90"/>
    <w:qFormat/>
    <w:uiPriority w:val="0"/>
    <w:pPr>
      <w:adjustRightInd w:val="0"/>
      <w:spacing w:before="357" w:line="280" w:lineRule="exact"/>
    </w:pPr>
  </w:style>
  <w:style w:type="paragraph" w:customStyle="1" w:styleId="93">
    <w:name w:val="封面标准代替信息"/>
    <w:basedOn w:val="92"/>
    <w:qFormat/>
    <w:uiPriority w:val="0"/>
    <w:pPr>
      <w:spacing w:before="57"/>
    </w:pPr>
    <w:rPr>
      <w:rFonts w:ascii="宋体"/>
      <w:sz w:val="21"/>
    </w:rPr>
  </w:style>
  <w:style w:type="paragraph" w:customStyle="1" w:styleId="94">
    <w:name w:val="封面标准名称"/>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96">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9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98">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99">
    <w:name w:val="封面正文"/>
    <w:qFormat/>
    <w:uiPriority w:val="0"/>
    <w:pPr>
      <w:jc w:val="both"/>
    </w:pPr>
    <w:rPr>
      <w:rFonts w:ascii="Times New Roman" w:hAnsi="Times New Roman" w:eastAsia="宋体" w:cs="Times New Roman"/>
      <w:lang w:val="en-US" w:eastAsia="zh-CN" w:bidi="ar-SA"/>
    </w:rPr>
  </w:style>
  <w:style w:type="paragraph" w:customStyle="1" w:styleId="100">
    <w:name w:val="附录标识"/>
    <w:basedOn w:val="78"/>
    <w:qFormat/>
    <w:uiPriority w:val="0"/>
    <w:pPr>
      <w:numPr>
        <w:ilvl w:val="0"/>
        <w:numId w:val="3"/>
      </w:numPr>
      <w:tabs>
        <w:tab w:val="left" w:pos="6405"/>
      </w:tabs>
      <w:spacing w:after="200"/>
    </w:pPr>
    <w:rPr>
      <w:sz w:val="21"/>
    </w:rPr>
  </w:style>
  <w:style w:type="paragraph" w:customStyle="1" w:styleId="101">
    <w:name w:val="附录表标题"/>
    <w:next w:val="59"/>
    <w:uiPriority w:val="0"/>
    <w:pPr>
      <w:jc w:val="center"/>
      <w:textAlignment w:val="baseline"/>
    </w:pPr>
    <w:rPr>
      <w:rFonts w:ascii="黑体" w:hAnsi="Times New Roman" w:eastAsia="黑体" w:cs="Times New Roman"/>
      <w:kern w:val="21"/>
      <w:sz w:val="21"/>
      <w:lang w:val="en-US" w:eastAsia="zh-CN" w:bidi="ar-SA"/>
    </w:rPr>
  </w:style>
  <w:style w:type="paragraph" w:customStyle="1" w:styleId="102">
    <w:name w:val="附录图标题"/>
    <w:next w:val="59"/>
    <w:qFormat/>
    <w:uiPriority w:val="0"/>
    <w:pPr>
      <w:jc w:val="center"/>
    </w:pPr>
    <w:rPr>
      <w:rFonts w:ascii="黑体" w:hAnsi="Times New Roman" w:eastAsia="黑体" w:cs="Times New Roman"/>
      <w:sz w:val="21"/>
      <w:lang w:val="en-US" w:eastAsia="zh-CN" w:bidi="ar-SA"/>
    </w:rPr>
  </w:style>
  <w:style w:type="paragraph" w:customStyle="1" w:styleId="103">
    <w:name w:val="列项——"/>
    <w:qFormat/>
    <w:uiPriority w:val="0"/>
    <w:pPr>
      <w:widowControl w:val="0"/>
      <w:numPr>
        <w:ilvl w:val="0"/>
        <w:numId w:val="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04">
    <w:name w:val="列项·"/>
    <w:qFormat/>
    <w:uiPriority w:val="0"/>
    <w:pPr>
      <w:numPr>
        <w:ilvl w:val="0"/>
        <w:numId w:val="6"/>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05">
    <w:name w:val="目次、标准名称标题"/>
    <w:basedOn w:val="78"/>
    <w:next w:val="59"/>
    <w:uiPriority w:val="0"/>
    <w:pPr>
      <w:numPr>
        <w:numId w:val="0"/>
      </w:numPr>
      <w:spacing w:line="460" w:lineRule="exact"/>
    </w:p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三级无标题条"/>
    <w:basedOn w:val="1"/>
    <w:uiPriority w:val="0"/>
    <w:pPr>
      <w:numPr>
        <w:ilvl w:val="4"/>
        <w:numId w:val="2"/>
      </w:numPr>
    </w:pPr>
  </w:style>
  <w:style w:type="paragraph" w:customStyle="1" w:styleId="108">
    <w:name w:val="数字编号列项（二级）"/>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09">
    <w:name w:val="四级条标题"/>
    <w:basedOn w:val="80"/>
    <w:next w:val="59"/>
    <w:qFormat/>
    <w:uiPriority w:val="0"/>
    <w:pPr>
      <w:numPr>
        <w:ilvl w:val="5"/>
      </w:numPr>
      <w:outlineLvl w:val="5"/>
    </w:pPr>
  </w:style>
  <w:style w:type="paragraph" w:customStyle="1" w:styleId="110">
    <w:name w:val="四级无标题条"/>
    <w:basedOn w:val="1"/>
    <w:qFormat/>
    <w:uiPriority w:val="0"/>
    <w:pPr>
      <w:numPr>
        <w:ilvl w:val="5"/>
        <w:numId w:val="2"/>
      </w:numPr>
    </w:pPr>
  </w:style>
  <w:style w:type="paragraph" w:customStyle="1" w:styleId="111">
    <w:name w:val="条文脚注"/>
    <w:basedOn w:val="32"/>
    <w:qFormat/>
    <w:uiPriority w:val="0"/>
    <w:pPr>
      <w:ind w:left="780" w:leftChars="200" w:hanging="360" w:hangingChars="200"/>
      <w:jc w:val="both"/>
    </w:pPr>
    <w:rPr>
      <w:rFonts w:ascii="宋体"/>
    </w:rPr>
  </w:style>
  <w:style w:type="paragraph" w:customStyle="1" w:styleId="112">
    <w:name w:val="图表脚注"/>
    <w:next w:val="59"/>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3">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14">
    <w:name w:val="无标题条"/>
    <w:next w:val="59"/>
    <w:qFormat/>
    <w:uiPriority w:val="0"/>
    <w:pPr>
      <w:jc w:val="both"/>
    </w:pPr>
    <w:rPr>
      <w:rFonts w:ascii="Times New Roman" w:hAnsi="Times New Roman" w:eastAsia="宋体" w:cs="Times New Roman"/>
      <w:sz w:val="21"/>
      <w:lang w:val="en-US" w:eastAsia="zh-CN" w:bidi="ar-SA"/>
    </w:rPr>
  </w:style>
  <w:style w:type="paragraph" w:customStyle="1" w:styleId="115">
    <w:name w:val="五级条标题"/>
    <w:basedOn w:val="109"/>
    <w:next w:val="59"/>
    <w:uiPriority w:val="0"/>
    <w:pPr>
      <w:numPr>
        <w:ilvl w:val="6"/>
      </w:numPr>
      <w:outlineLvl w:val="6"/>
    </w:pPr>
  </w:style>
  <w:style w:type="paragraph" w:customStyle="1" w:styleId="116">
    <w:name w:val="五级无标题条"/>
    <w:basedOn w:val="1"/>
    <w:uiPriority w:val="0"/>
    <w:pPr>
      <w:numPr>
        <w:ilvl w:val="6"/>
        <w:numId w:val="2"/>
      </w:numPr>
    </w:pPr>
  </w:style>
  <w:style w:type="paragraph" w:customStyle="1" w:styleId="117">
    <w:name w:val="一级无标题条"/>
    <w:basedOn w:val="1"/>
    <w:qFormat/>
    <w:uiPriority w:val="0"/>
  </w:style>
  <w:style w:type="paragraph" w:customStyle="1" w:styleId="118">
    <w:name w:val="正文表标题"/>
    <w:next w:val="59"/>
    <w:uiPriority w:val="0"/>
    <w:pPr>
      <w:numPr>
        <w:ilvl w:val="0"/>
        <w:numId w:val="7"/>
      </w:numPr>
      <w:jc w:val="center"/>
    </w:pPr>
    <w:rPr>
      <w:rFonts w:ascii="黑体" w:hAnsi="Times New Roman" w:eastAsia="黑体" w:cs="Times New Roman"/>
      <w:sz w:val="21"/>
      <w:lang w:val="en-US" w:eastAsia="zh-CN" w:bidi="ar-SA"/>
    </w:rPr>
  </w:style>
  <w:style w:type="paragraph" w:customStyle="1" w:styleId="119">
    <w:name w:val="正文图标题"/>
    <w:next w:val="59"/>
    <w:uiPriority w:val="0"/>
    <w:pPr>
      <w:numPr>
        <w:ilvl w:val="0"/>
        <w:numId w:val="8"/>
      </w:numPr>
      <w:jc w:val="center"/>
    </w:pPr>
    <w:rPr>
      <w:rFonts w:ascii="黑体" w:hAnsi="Times New Roman" w:eastAsia="黑体" w:cs="Times New Roman"/>
      <w:sz w:val="21"/>
      <w:lang w:val="en-US" w:eastAsia="zh-CN" w:bidi="ar-SA"/>
    </w:rPr>
  </w:style>
  <w:style w:type="paragraph" w:customStyle="1" w:styleId="120">
    <w:name w:val="注："/>
    <w:next w:val="59"/>
    <w:uiPriority w:val="0"/>
    <w:pPr>
      <w:widowControl w:val="0"/>
      <w:numPr>
        <w:ilvl w:val="0"/>
        <w:numId w:val="9"/>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121">
    <w:name w:val="注×："/>
    <w:uiPriority w:val="0"/>
    <w:pPr>
      <w:widowControl w:val="0"/>
      <w:numPr>
        <w:ilvl w:val="0"/>
        <w:numId w:val="10"/>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22">
    <w:name w:val="字母编号列项（一级）"/>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23">
    <w:name w:val="Char Char Char Char Char Char1"/>
    <w:basedOn w:val="1"/>
    <w:uiPriority w:val="0"/>
    <w:pPr>
      <w:widowControl/>
      <w:spacing w:after="160" w:line="240" w:lineRule="exact"/>
      <w:jc w:val="left"/>
    </w:pPr>
    <w:rPr>
      <w:rFonts w:ascii="Verdana" w:hAnsi="Verdana" w:eastAsia="仿宋_GB2312"/>
      <w:kern w:val="0"/>
      <w:sz w:val="24"/>
      <w:lang w:eastAsia="en-US"/>
    </w:rPr>
  </w:style>
  <w:style w:type="paragraph" w:customStyle="1" w:styleId="124">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25">
    <w:name w:val="_Style 123"/>
    <w:next w:val="1"/>
    <w:uiPriority w:val="0"/>
    <w:pPr>
      <w:widowControl w:val="0"/>
      <w:jc w:val="both"/>
    </w:pPr>
    <w:rPr>
      <w:rFonts w:ascii="Times New Roman" w:hAnsi="Times New Roman" w:eastAsia="宋体" w:cs="Times New Roman"/>
      <w:kern w:val="2"/>
      <w:sz w:val="21"/>
      <w:lang w:val="en-US" w:eastAsia="zh-CN" w:bidi="ar-SA"/>
    </w:rPr>
  </w:style>
  <w:style w:type="paragraph" w:customStyle="1" w:styleId="126">
    <w:name w:val="修订1"/>
    <w:hidden/>
    <w:semiHidden/>
    <w:uiPriority w:val="99"/>
    <w:rPr>
      <w:rFonts w:ascii="Times New Roman" w:hAnsi="Times New Roman" w:eastAsia="宋体" w:cs="Times New Roman"/>
      <w:kern w:val="2"/>
      <w:sz w:val="21"/>
      <w:lang w:val="en-US" w:eastAsia="zh-CN" w:bidi="ar-SA"/>
    </w:rPr>
  </w:style>
  <w:style w:type="paragraph" w:customStyle="1" w:styleId="127">
    <w:name w:val="列出段落1"/>
    <w:basedOn w:val="1"/>
    <w:uiPriority w:val="0"/>
    <w:pPr>
      <w:ind w:firstLine="420" w:firstLineChars="200"/>
    </w:pPr>
    <w:rPr>
      <w:rFonts w:ascii="Calibri" w:hAnsi="Calibri"/>
      <w:szCs w:val="22"/>
    </w:rPr>
  </w:style>
  <w:style w:type="character" w:customStyle="1" w:styleId="128">
    <w:name w:val="批注文字 Char"/>
    <w:basedOn w:val="38"/>
    <w:link w:val="12"/>
    <w:semiHidden/>
    <w:qFormat/>
    <w:uiPriority w:val="0"/>
    <w:rPr>
      <w:kern w:val="2"/>
      <w:sz w:val="21"/>
    </w:rPr>
  </w:style>
  <w:style w:type="paragraph" w:customStyle="1" w:styleId="129">
    <w:name w:val="列出段落2"/>
    <w:basedOn w:val="1"/>
    <w:qFormat/>
    <w:uiPriority w:val="34"/>
    <w:pPr>
      <w:ind w:firstLine="420" w:firstLineChars="200"/>
    </w:pPr>
  </w:style>
  <w:style w:type="character" w:customStyle="1" w:styleId="130">
    <w:name w:val="a-size-large1"/>
    <w:basedOn w:val="38"/>
    <w:uiPriority w:val="0"/>
    <w:rPr>
      <w:rFonts w:hint="default" w:ascii="Arial" w:hAnsi="Arial" w:cs="Ari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中国标准研究中心</Company>
  <Pages>8</Pages>
  <Words>881</Words>
  <Characters>5024</Characters>
  <Lines>41</Lines>
  <Paragraphs>11</Paragraphs>
  <TotalTime>1277</TotalTime>
  <ScaleCrop>false</ScaleCrop>
  <LinksUpToDate>false</LinksUpToDate>
  <CharactersWithSpaces>5894</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2020-03-12T14:09:00Z</dcterms:created>
  <dc:creator>USER</dc:creator>
  <cp:lastModifiedBy>loud</cp:lastModifiedBy>
  <cp:lastPrinted>2015-09-09T05:55:00Z</cp:lastPrinted>
  <dcterms:modified xsi:type="dcterms:W3CDTF">2020-05-06T08:12:28Z</dcterms:modified>
  <dc:title>小蔗螟检疫鉴定方法</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